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9E" w:rsidRDefault="009A609E" w:rsidP="009A609E">
      <w:pPr>
        <w:rPr>
          <w:rFonts w:asciiTheme="majorHAnsi" w:hAnsiTheme="majorHAnsi" w:cs="Times New Roman"/>
        </w:rPr>
      </w:pPr>
    </w:p>
    <w:p w:rsidR="009A609E" w:rsidRDefault="009A609E" w:rsidP="009A609E">
      <w:pPr>
        <w:rPr>
          <w:rFonts w:asciiTheme="majorHAnsi" w:hAnsiTheme="majorHAnsi" w:cs="Times New Roman"/>
        </w:rPr>
      </w:pPr>
    </w:p>
    <w:p w:rsidR="009A609E" w:rsidRDefault="009A609E" w:rsidP="009A609E">
      <w:pPr>
        <w:rPr>
          <w:rFonts w:asciiTheme="majorHAnsi" w:hAnsiTheme="majorHAnsi" w:cs="Times New Roman"/>
        </w:rPr>
      </w:pPr>
    </w:p>
    <w:p w:rsidR="009A609E" w:rsidRDefault="009A609E" w:rsidP="009A609E">
      <w:pPr>
        <w:rPr>
          <w:rFonts w:asciiTheme="majorHAnsi" w:hAnsiTheme="majorHAnsi" w:cs="Times New Roman"/>
        </w:rPr>
      </w:pPr>
      <w:r>
        <w:rPr>
          <w:rFonts w:asciiTheme="majorHAnsi" w:hAnsiTheme="majorHAnsi" w:cs="Times New Roman"/>
        </w:rPr>
        <w:t>William A. Dunkelberger</w:t>
      </w:r>
      <w:r w:rsidR="00DF18C6">
        <w:rPr>
          <w:rFonts w:asciiTheme="majorHAnsi" w:hAnsiTheme="majorHAnsi" w:cs="Times New Roman"/>
        </w:rPr>
        <w:tab/>
      </w:r>
      <w:r w:rsidR="00DF18C6">
        <w:rPr>
          <w:rFonts w:asciiTheme="majorHAnsi" w:hAnsiTheme="majorHAnsi" w:cs="Times New Roman"/>
        </w:rPr>
        <w:tab/>
      </w:r>
      <w:r w:rsidR="00DF18C6">
        <w:rPr>
          <w:rFonts w:asciiTheme="majorHAnsi" w:hAnsiTheme="majorHAnsi" w:cs="Times New Roman"/>
        </w:rPr>
        <w:tab/>
      </w:r>
      <w:r w:rsidR="00DF18C6">
        <w:rPr>
          <w:rFonts w:asciiTheme="majorHAnsi" w:hAnsiTheme="majorHAnsi" w:cs="Times New Roman"/>
        </w:rPr>
        <w:tab/>
      </w:r>
      <w:r w:rsidR="00DF18C6">
        <w:rPr>
          <w:rFonts w:asciiTheme="majorHAnsi" w:hAnsiTheme="majorHAnsi" w:cs="Times New Roman"/>
        </w:rPr>
        <w:tab/>
      </w:r>
      <w:r w:rsidR="00DF18C6">
        <w:rPr>
          <w:rFonts w:asciiTheme="majorHAnsi" w:hAnsiTheme="majorHAnsi" w:cs="Times New Roman"/>
        </w:rPr>
        <w:tab/>
        <w:t>January 24</w:t>
      </w:r>
      <w:r w:rsidR="000D7463">
        <w:rPr>
          <w:rFonts w:asciiTheme="majorHAnsi" w:hAnsiTheme="majorHAnsi" w:cs="Times New Roman"/>
        </w:rPr>
        <w:t>, 2015</w:t>
      </w:r>
    </w:p>
    <w:p w:rsidR="009A609E" w:rsidRDefault="009A609E" w:rsidP="009A609E">
      <w:pPr>
        <w:rPr>
          <w:rFonts w:asciiTheme="majorHAnsi" w:hAnsiTheme="majorHAnsi" w:cs="Times New Roman"/>
        </w:rPr>
      </w:pPr>
      <w:r>
        <w:rPr>
          <w:rFonts w:asciiTheme="majorHAnsi" w:hAnsiTheme="majorHAnsi" w:cs="Times New Roman"/>
        </w:rPr>
        <w:t>Forest Supervisor</w:t>
      </w:r>
    </w:p>
    <w:p w:rsidR="009A609E" w:rsidRDefault="009A609E" w:rsidP="009A609E">
      <w:pPr>
        <w:rPr>
          <w:rFonts w:asciiTheme="majorHAnsi" w:hAnsiTheme="majorHAnsi" w:cs="Times New Roman"/>
        </w:rPr>
      </w:pPr>
      <w:r>
        <w:rPr>
          <w:rFonts w:asciiTheme="majorHAnsi" w:hAnsiTheme="majorHAnsi" w:cs="Times New Roman"/>
        </w:rPr>
        <w:t>Humboldt-Toiyabe National Forest</w:t>
      </w:r>
    </w:p>
    <w:p w:rsidR="009A609E" w:rsidRDefault="009A609E" w:rsidP="009A609E">
      <w:pPr>
        <w:rPr>
          <w:rFonts w:asciiTheme="majorHAnsi" w:hAnsiTheme="majorHAnsi" w:cs="Times New Roman"/>
        </w:rPr>
      </w:pPr>
      <w:r>
        <w:rPr>
          <w:rFonts w:asciiTheme="majorHAnsi" w:hAnsiTheme="majorHAnsi" w:cs="Times New Roman"/>
        </w:rPr>
        <w:t>1200 Franklin Way</w:t>
      </w:r>
    </w:p>
    <w:p w:rsidR="009A609E" w:rsidRDefault="009A609E" w:rsidP="009A609E">
      <w:pPr>
        <w:rPr>
          <w:rFonts w:asciiTheme="majorHAnsi" w:hAnsiTheme="majorHAnsi" w:cs="Times New Roman"/>
        </w:rPr>
      </w:pPr>
      <w:r>
        <w:rPr>
          <w:rFonts w:asciiTheme="majorHAnsi" w:hAnsiTheme="majorHAnsi" w:cs="Times New Roman"/>
        </w:rPr>
        <w:t>Sparks, NV  89431</w:t>
      </w:r>
    </w:p>
    <w:p w:rsidR="009A609E" w:rsidRDefault="009A609E" w:rsidP="009A609E">
      <w:pPr>
        <w:rPr>
          <w:rFonts w:asciiTheme="majorHAnsi" w:hAnsiTheme="majorHAnsi" w:cs="Times New Roman"/>
        </w:rPr>
      </w:pPr>
    </w:p>
    <w:p w:rsidR="009A609E" w:rsidRDefault="009A609E" w:rsidP="009A609E">
      <w:pPr>
        <w:rPr>
          <w:rFonts w:asciiTheme="majorHAnsi" w:hAnsiTheme="majorHAnsi" w:cs="Times New Roman"/>
        </w:rPr>
      </w:pPr>
    </w:p>
    <w:p w:rsidR="009A609E" w:rsidRPr="009A609E" w:rsidRDefault="009A609E" w:rsidP="009A609E">
      <w:pPr>
        <w:rPr>
          <w:rFonts w:asciiTheme="majorHAnsi" w:hAnsiTheme="majorHAnsi" w:cs="Times New Roman"/>
        </w:rPr>
      </w:pPr>
      <w:r>
        <w:rPr>
          <w:rFonts w:asciiTheme="majorHAnsi" w:hAnsiTheme="majorHAnsi" w:cs="Times New Roman"/>
        </w:rPr>
        <w:t>Dear Mr. Dunkelberger</w:t>
      </w:r>
      <w:r w:rsidRPr="009A609E">
        <w:rPr>
          <w:rFonts w:asciiTheme="majorHAnsi" w:hAnsiTheme="majorHAnsi" w:cs="Times New Roman"/>
        </w:rPr>
        <w:t>:</w:t>
      </w:r>
    </w:p>
    <w:p w:rsidR="009A609E" w:rsidRPr="009A609E" w:rsidRDefault="009A609E" w:rsidP="009A609E">
      <w:pPr>
        <w:rPr>
          <w:rFonts w:asciiTheme="majorHAnsi" w:hAnsiTheme="majorHAnsi" w:cs="Times New Roman"/>
        </w:rPr>
      </w:pPr>
    </w:p>
    <w:p w:rsidR="00E76A4E" w:rsidRPr="00DF18C6" w:rsidRDefault="00B60287" w:rsidP="00E76A4E">
      <w:pPr>
        <w:rPr>
          <w:rFonts w:asciiTheme="majorHAnsi" w:hAnsiTheme="majorHAnsi"/>
        </w:rPr>
      </w:pPr>
      <w:r w:rsidRPr="00DF18C6">
        <w:rPr>
          <w:rFonts w:asciiTheme="majorHAnsi" w:hAnsiTheme="majorHAnsi"/>
        </w:rPr>
        <w:t>I am the owner of the historic Peavine Ranch, listed in the National Register of Historic Places</w:t>
      </w:r>
      <w:r w:rsidR="00057A11" w:rsidRPr="00DF18C6">
        <w:rPr>
          <w:rFonts w:asciiTheme="majorHAnsi" w:hAnsiTheme="majorHAnsi"/>
        </w:rPr>
        <w:t xml:space="preserve"> </w:t>
      </w:r>
      <w:r w:rsidR="00DF18C6" w:rsidRPr="00DF18C6">
        <w:rPr>
          <w:rFonts w:asciiTheme="majorHAnsi" w:hAnsiTheme="majorHAnsi"/>
        </w:rPr>
        <w:t>(</w:t>
      </w:r>
      <w:r w:rsidR="00057A11" w:rsidRPr="00DF18C6">
        <w:rPr>
          <w:rFonts w:asciiTheme="majorHAnsi" w:hAnsiTheme="majorHAnsi"/>
        </w:rPr>
        <w:t>NRHP)</w:t>
      </w:r>
      <w:r w:rsidRPr="00DF18C6">
        <w:rPr>
          <w:rFonts w:asciiTheme="majorHAnsi" w:hAnsiTheme="majorHAnsi"/>
        </w:rPr>
        <w:t xml:space="preserve"> on April 6, 2000.  </w:t>
      </w:r>
      <w:r w:rsidR="009A609E" w:rsidRPr="00DF18C6">
        <w:rPr>
          <w:rFonts w:asciiTheme="majorHAnsi" w:hAnsiTheme="majorHAnsi" w:cs="Times New Roman"/>
        </w:rPr>
        <w:t xml:space="preserve">On December 12, 2014, the Humboldt-Toiyabe National Forest, Carson Ranger District released </w:t>
      </w:r>
      <w:r w:rsidR="009A609E" w:rsidRPr="00DF18C6">
        <w:rPr>
          <w:rFonts w:asciiTheme="majorHAnsi" w:hAnsiTheme="majorHAnsi" w:cs="Times New Roman"/>
          <w:b/>
        </w:rPr>
        <w:t>Bordertown to California 120kV Transmission Line Draft Environmental Impact Statement</w:t>
      </w:r>
      <w:r w:rsidR="00DF18C6" w:rsidRPr="00DF18C6">
        <w:rPr>
          <w:rFonts w:asciiTheme="majorHAnsi" w:hAnsiTheme="majorHAnsi" w:cs="Times New Roman"/>
        </w:rPr>
        <w:t xml:space="preserve"> (DEIS</w:t>
      </w:r>
      <w:r w:rsidR="009A609E" w:rsidRPr="00DF18C6">
        <w:rPr>
          <w:rFonts w:asciiTheme="majorHAnsi" w:hAnsiTheme="majorHAnsi" w:cs="Times New Roman"/>
        </w:rPr>
        <w:t xml:space="preserve">) </w:t>
      </w:r>
      <w:r w:rsidRPr="00DF18C6">
        <w:rPr>
          <w:rFonts w:asciiTheme="majorHAnsi" w:hAnsiTheme="majorHAnsi" w:cs="Times New Roman"/>
        </w:rPr>
        <w:t xml:space="preserve">identifying the Poeville Alternative as the preferred alternative.  The Poeville route is the only alternative </w:t>
      </w:r>
      <w:r w:rsidR="00AB5CDE" w:rsidRPr="00DF18C6">
        <w:rPr>
          <w:rFonts w:asciiTheme="majorHAnsi" w:hAnsiTheme="majorHAnsi" w:cs="Times New Roman"/>
        </w:rPr>
        <w:t xml:space="preserve">proposed </w:t>
      </w:r>
      <w:r w:rsidRPr="00DF18C6">
        <w:rPr>
          <w:rFonts w:asciiTheme="majorHAnsi" w:hAnsiTheme="majorHAnsi" w:cs="Times New Roman"/>
        </w:rPr>
        <w:t xml:space="preserve">that </w:t>
      </w:r>
      <w:r w:rsidR="00AB5CDE" w:rsidRPr="00DF18C6">
        <w:rPr>
          <w:rFonts w:asciiTheme="majorHAnsi" w:hAnsiTheme="majorHAnsi" w:cs="Times New Roman"/>
        </w:rPr>
        <w:t xml:space="preserve">causes direct </w:t>
      </w:r>
      <w:r w:rsidRPr="00DF18C6">
        <w:rPr>
          <w:rFonts w:asciiTheme="majorHAnsi" w:hAnsiTheme="majorHAnsi" w:cs="Times New Roman"/>
        </w:rPr>
        <w:t>impact</w:t>
      </w:r>
      <w:r w:rsidR="00AB5CDE" w:rsidRPr="00DF18C6">
        <w:rPr>
          <w:rFonts w:asciiTheme="majorHAnsi" w:hAnsiTheme="majorHAnsi" w:cs="Times New Roman"/>
        </w:rPr>
        <w:t xml:space="preserve">s to this historic property.  </w:t>
      </w:r>
      <w:r w:rsidRPr="00DF18C6">
        <w:rPr>
          <w:rFonts w:asciiTheme="majorHAnsi" w:hAnsiTheme="majorHAnsi" w:cs="Times New Roman"/>
        </w:rPr>
        <w:t xml:space="preserve"> </w:t>
      </w:r>
      <w:r w:rsidR="00FA6855" w:rsidRPr="00DF18C6">
        <w:rPr>
          <w:rFonts w:asciiTheme="majorHAnsi" w:hAnsiTheme="majorHAnsi" w:cs="Times New Roman"/>
        </w:rPr>
        <w:t>Please give the following comments serious consideration as you develop the Final EIS for this project.</w:t>
      </w:r>
    </w:p>
    <w:p w:rsidR="00FA6855" w:rsidRPr="00DF18C6" w:rsidRDefault="00FA6855" w:rsidP="00E76A4E">
      <w:pPr>
        <w:rPr>
          <w:rFonts w:asciiTheme="majorHAnsi" w:hAnsiTheme="majorHAnsi"/>
          <w:b/>
        </w:rPr>
      </w:pPr>
    </w:p>
    <w:p w:rsidR="00B45AE6" w:rsidRPr="00DF18C6" w:rsidRDefault="00B45AE6" w:rsidP="00B65739">
      <w:pPr>
        <w:pStyle w:val="ListParagraph"/>
        <w:numPr>
          <w:ilvl w:val="0"/>
          <w:numId w:val="4"/>
        </w:numPr>
        <w:rPr>
          <w:rFonts w:asciiTheme="majorHAnsi" w:hAnsiTheme="majorHAnsi"/>
          <w:b/>
        </w:rPr>
      </w:pPr>
      <w:r w:rsidRPr="00DF18C6">
        <w:rPr>
          <w:rFonts w:asciiTheme="majorHAnsi" w:hAnsiTheme="majorHAnsi"/>
          <w:b/>
        </w:rPr>
        <w:t xml:space="preserve">The Poeville Alternative violates the terms of the existing </w:t>
      </w:r>
      <w:r w:rsidR="004F5A13" w:rsidRPr="00DF18C6">
        <w:rPr>
          <w:rFonts w:asciiTheme="majorHAnsi" w:hAnsiTheme="majorHAnsi"/>
          <w:b/>
        </w:rPr>
        <w:t>Memorandum of Agreement (</w:t>
      </w:r>
      <w:r w:rsidRPr="00DF18C6">
        <w:rPr>
          <w:rFonts w:asciiTheme="majorHAnsi" w:hAnsiTheme="majorHAnsi"/>
          <w:b/>
        </w:rPr>
        <w:t>MOA</w:t>
      </w:r>
      <w:r w:rsidR="004F5A13" w:rsidRPr="00DF18C6">
        <w:rPr>
          <w:rFonts w:asciiTheme="majorHAnsi" w:hAnsiTheme="majorHAnsi"/>
          <w:b/>
        </w:rPr>
        <w:t>)</w:t>
      </w:r>
      <w:r w:rsidRPr="00DF18C6">
        <w:rPr>
          <w:rFonts w:asciiTheme="majorHAnsi" w:hAnsiTheme="majorHAnsi"/>
          <w:b/>
        </w:rPr>
        <w:t xml:space="preserve"> issued for the Alturas Transmission Line 106 compliance: </w:t>
      </w:r>
    </w:p>
    <w:p w:rsidR="004F5A13" w:rsidRPr="00DF18C6" w:rsidRDefault="004F5A13" w:rsidP="00B45AE6">
      <w:pPr>
        <w:pStyle w:val="ListParagraph"/>
        <w:ind w:left="420"/>
        <w:rPr>
          <w:rFonts w:asciiTheme="majorHAnsi" w:hAnsiTheme="majorHAnsi"/>
        </w:rPr>
      </w:pPr>
    </w:p>
    <w:p w:rsidR="00B65739" w:rsidRPr="00EA50CE" w:rsidRDefault="00AB5CDE" w:rsidP="00057A11">
      <w:pPr>
        <w:pStyle w:val="ListParagraph"/>
        <w:ind w:left="420"/>
        <w:rPr>
          <w:rStyle w:val="st"/>
          <w:rFonts w:asciiTheme="majorHAnsi" w:hAnsiTheme="majorHAnsi"/>
        </w:rPr>
      </w:pPr>
      <w:r w:rsidRPr="00DF18C6">
        <w:rPr>
          <w:rFonts w:asciiTheme="majorHAnsi" w:hAnsiTheme="majorHAnsi"/>
        </w:rPr>
        <w:t xml:space="preserve">The DEIS </w:t>
      </w:r>
      <w:r w:rsidR="00B65739" w:rsidRPr="00DF18C6">
        <w:rPr>
          <w:rFonts w:asciiTheme="majorHAnsi" w:hAnsiTheme="majorHAnsi"/>
        </w:rPr>
        <w:t xml:space="preserve">proposes actions that would violate the terms of the (MOA) that was issued </w:t>
      </w:r>
      <w:r w:rsidR="00B45AE6" w:rsidRPr="00DF18C6">
        <w:rPr>
          <w:rFonts w:asciiTheme="majorHAnsi" w:hAnsiTheme="majorHAnsi"/>
        </w:rPr>
        <w:t xml:space="preserve">in </w:t>
      </w:r>
      <w:r w:rsidR="00B65739" w:rsidRPr="00DF18C6">
        <w:rPr>
          <w:rFonts w:asciiTheme="majorHAnsi" w:hAnsiTheme="majorHAnsi"/>
        </w:rPr>
        <w:t xml:space="preserve">compliance with the programmatic agreement and Section 106 of the </w:t>
      </w:r>
      <w:r w:rsidR="00057A11" w:rsidRPr="00DF18C6">
        <w:rPr>
          <w:rFonts w:asciiTheme="majorHAnsi" w:hAnsiTheme="majorHAnsi"/>
        </w:rPr>
        <w:t>National Historic Preservation Act (</w:t>
      </w:r>
      <w:r w:rsidR="00B65739" w:rsidRPr="00DF18C6">
        <w:rPr>
          <w:rFonts w:asciiTheme="majorHAnsi" w:hAnsiTheme="majorHAnsi"/>
        </w:rPr>
        <w:t>NHPA</w:t>
      </w:r>
      <w:r w:rsidR="00057A11" w:rsidRPr="00DF18C6">
        <w:rPr>
          <w:rFonts w:asciiTheme="majorHAnsi" w:hAnsiTheme="majorHAnsi"/>
        </w:rPr>
        <w:t>)</w:t>
      </w:r>
      <w:r w:rsidR="00B65739" w:rsidRPr="00DF18C6">
        <w:rPr>
          <w:rFonts w:asciiTheme="majorHAnsi" w:hAnsiTheme="majorHAnsi"/>
        </w:rPr>
        <w:t xml:space="preserve"> regulations (36</w:t>
      </w:r>
      <w:r w:rsidR="00B45AE6" w:rsidRPr="00DF18C6">
        <w:rPr>
          <w:rFonts w:asciiTheme="majorHAnsi" w:hAnsiTheme="majorHAnsi"/>
        </w:rPr>
        <w:t xml:space="preserve"> </w:t>
      </w:r>
      <w:r w:rsidR="00B65739" w:rsidRPr="00DF18C6">
        <w:rPr>
          <w:rFonts w:asciiTheme="majorHAnsi" w:hAnsiTheme="majorHAnsi"/>
        </w:rPr>
        <w:t>CFR 800) for the Alturas Transmission Line Project.  The Poeville alternat</w:t>
      </w:r>
      <w:r w:rsidR="00B45AE6" w:rsidRPr="00DF18C6">
        <w:rPr>
          <w:rFonts w:asciiTheme="majorHAnsi" w:hAnsiTheme="majorHAnsi"/>
        </w:rPr>
        <w:t>ive proposes to utilize the existing</w:t>
      </w:r>
      <w:r w:rsidR="00B65739" w:rsidRPr="00DF18C6">
        <w:rPr>
          <w:rFonts w:asciiTheme="majorHAnsi" w:hAnsiTheme="majorHAnsi"/>
        </w:rPr>
        <w:t xml:space="preserve"> utility </w:t>
      </w:r>
      <w:r w:rsidR="00B45AE6" w:rsidRPr="00DF18C6">
        <w:rPr>
          <w:rFonts w:asciiTheme="majorHAnsi" w:hAnsiTheme="majorHAnsi"/>
        </w:rPr>
        <w:t>corridor</w:t>
      </w:r>
      <w:r w:rsidR="00B65739" w:rsidRPr="00DF18C6">
        <w:rPr>
          <w:rFonts w:asciiTheme="majorHAnsi" w:hAnsiTheme="majorHAnsi"/>
        </w:rPr>
        <w:t xml:space="preserve"> as the Alturas line.  </w:t>
      </w:r>
      <w:r w:rsidR="00B45AE6" w:rsidRPr="00DF18C6">
        <w:rPr>
          <w:rFonts w:asciiTheme="majorHAnsi" w:hAnsiTheme="majorHAnsi"/>
        </w:rPr>
        <w:t xml:space="preserve"> Cultural resources protected or mitigated under this existing MOA cannot be negated </w:t>
      </w:r>
      <w:r w:rsidR="00B65739" w:rsidRPr="00DF18C6">
        <w:rPr>
          <w:rFonts w:asciiTheme="majorHAnsi" w:hAnsiTheme="majorHAnsi"/>
        </w:rPr>
        <w:t xml:space="preserve">by the addition of the new 120kV line within the same utility </w:t>
      </w:r>
      <w:r w:rsidR="00B45AE6" w:rsidRPr="00DF18C6">
        <w:rPr>
          <w:rFonts w:asciiTheme="majorHAnsi" w:hAnsiTheme="majorHAnsi"/>
        </w:rPr>
        <w:t>corridor</w:t>
      </w:r>
      <w:r w:rsidR="00B65739" w:rsidRPr="00DF18C6">
        <w:rPr>
          <w:rFonts w:asciiTheme="majorHAnsi" w:hAnsiTheme="majorHAnsi"/>
        </w:rPr>
        <w:t xml:space="preserve">.  </w:t>
      </w:r>
      <w:r w:rsidR="004F5A13" w:rsidRPr="00DF18C6">
        <w:rPr>
          <w:rFonts w:asciiTheme="majorHAnsi" w:hAnsiTheme="majorHAnsi"/>
        </w:rPr>
        <w:t>Si</w:t>
      </w:r>
      <w:r w:rsidR="00DF18C6">
        <w:rPr>
          <w:rFonts w:asciiTheme="majorHAnsi" w:hAnsiTheme="majorHAnsi"/>
        </w:rPr>
        <w:t>te a</w:t>
      </w:r>
      <w:r w:rsidR="004F5A13" w:rsidRPr="00DF18C6">
        <w:rPr>
          <w:rFonts w:asciiTheme="majorHAnsi" w:hAnsiTheme="majorHAnsi"/>
        </w:rPr>
        <w:t>voidance, data recovery, component evaluation, marker construction, recordatio</w:t>
      </w:r>
      <w:r w:rsidR="008150A4" w:rsidRPr="00DF18C6">
        <w:rPr>
          <w:rFonts w:asciiTheme="majorHAnsi" w:hAnsiTheme="majorHAnsi"/>
        </w:rPr>
        <w:t xml:space="preserve">n and landscaping were specific compliance items of the </w:t>
      </w:r>
      <w:r w:rsidR="004F5A13" w:rsidRPr="00DF18C6">
        <w:rPr>
          <w:rFonts w:asciiTheme="majorHAnsi" w:hAnsiTheme="majorHAnsi"/>
        </w:rPr>
        <w:t xml:space="preserve">MOA </w:t>
      </w:r>
      <w:r w:rsidR="008150A4" w:rsidRPr="00DF18C6">
        <w:rPr>
          <w:rFonts w:asciiTheme="majorHAnsi" w:hAnsiTheme="majorHAnsi"/>
        </w:rPr>
        <w:t xml:space="preserve">for </w:t>
      </w:r>
      <w:r w:rsidR="004D7965" w:rsidRPr="00DF18C6">
        <w:rPr>
          <w:rFonts w:asciiTheme="majorHAnsi" w:hAnsiTheme="majorHAnsi"/>
        </w:rPr>
        <w:t>the Peavine ranch property</w:t>
      </w:r>
      <w:r w:rsidR="008150A4" w:rsidRPr="00DF18C6">
        <w:rPr>
          <w:rFonts w:asciiTheme="majorHAnsi" w:hAnsiTheme="majorHAnsi"/>
        </w:rPr>
        <w:t xml:space="preserve"> (SHPO, 1998).</w:t>
      </w:r>
      <w:r w:rsidR="00FD0A85" w:rsidRPr="00DF18C6">
        <w:rPr>
          <w:rFonts w:asciiTheme="majorHAnsi" w:hAnsiTheme="majorHAnsi"/>
        </w:rPr>
        <w:t xml:space="preserve">  The Peavine Ranch was listed i</w:t>
      </w:r>
      <w:r w:rsidR="00057A11" w:rsidRPr="00DF18C6">
        <w:rPr>
          <w:rFonts w:asciiTheme="majorHAnsi" w:hAnsiTheme="majorHAnsi"/>
        </w:rPr>
        <w:t>n the NRHP</w:t>
      </w:r>
      <w:r w:rsidR="00FD0A85" w:rsidRPr="00DF18C6">
        <w:rPr>
          <w:rFonts w:asciiTheme="majorHAnsi" w:hAnsiTheme="majorHAnsi"/>
        </w:rPr>
        <w:t xml:space="preserve"> after this MOA was completed.</w:t>
      </w:r>
      <w:r w:rsidR="00FD0A85" w:rsidRPr="00DF18C6">
        <w:rPr>
          <w:rFonts w:asciiTheme="majorHAnsi" w:hAnsiTheme="majorHAnsi"/>
          <w:b/>
        </w:rPr>
        <w:t xml:space="preserve">  </w:t>
      </w:r>
      <w:r w:rsidR="00DF18C6">
        <w:rPr>
          <w:rFonts w:asciiTheme="majorHAnsi" w:hAnsiTheme="majorHAnsi"/>
        </w:rPr>
        <w:t xml:space="preserve">The construction of this proposed transmission line </w:t>
      </w:r>
      <w:r w:rsidR="00FD0A85" w:rsidRPr="00DF18C6">
        <w:rPr>
          <w:rFonts w:asciiTheme="majorHAnsi" w:hAnsiTheme="majorHAnsi"/>
        </w:rPr>
        <w:t>would constitute an adverse impact to this site and nullify the mitigation that the 1998 MOA put in place.</w:t>
      </w:r>
    </w:p>
    <w:p w:rsidR="00B65739" w:rsidRPr="00EA50CE" w:rsidRDefault="00B65739" w:rsidP="00B65739">
      <w:pPr>
        <w:rPr>
          <w:rFonts w:asciiTheme="majorHAnsi" w:hAnsiTheme="majorHAnsi"/>
        </w:rPr>
      </w:pPr>
    </w:p>
    <w:p w:rsidR="003C1CE0" w:rsidRPr="00DF18C6" w:rsidRDefault="00DF18C6" w:rsidP="007F666A">
      <w:pPr>
        <w:pStyle w:val="ListParagraph"/>
        <w:numPr>
          <w:ilvl w:val="0"/>
          <w:numId w:val="4"/>
        </w:numPr>
        <w:ind w:left="418"/>
        <w:rPr>
          <w:rFonts w:asciiTheme="majorHAnsi" w:hAnsiTheme="majorHAnsi"/>
          <w:b/>
        </w:rPr>
      </w:pPr>
      <w:r>
        <w:rPr>
          <w:rFonts w:asciiTheme="majorHAnsi" w:hAnsiTheme="majorHAnsi"/>
          <w:b/>
        </w:rPr>
        <w:t>Adverse direct, indirect, and cumulative i</w:t>
      </w:r>
      <w:r w:rsidR="003C1CE0" w:rsidRPr="00DF18C6">
        <w:rPr>
          <w:rFonts w:asciiTheme="majorHAnsi" w:hAnsiTheme="majorHAnsi"/>
          <w:b/>
        </w:rPr>
        <w:t>mpacts to NRHP site are not mitigated with alternative route adjustment, design features, nor proposed mitigation:</w:t>
      </w:r>
    </w:p>
    <w:p w:rsidR="00D53E63" w:rsidRPr="00DF18C6" w:rsidRDefault="00D53E63" w:rsidP="00D53E63">
      <w:pPr>
        <w:pStyle w:val="ListParagraph"/>
        <w:ind w:left="420"/>
        <w:rPr>
          <w:rFonts w:asciiTheme="majorHAnsi" w:hAnsiTheme="majorHAnsi"/>
        </w:rPr>
      </w:pPr>
    </w:p>
    <w:p w:rsidR="00D53E63" w:rsidRPr="00DF18C6" w:rsidRDefault="00D53E63" w:rsidP="007F666A">
      <w:pPr>
        <w:pStyle w:val="ListParagraph"/>
        <w:ind w:left="418"/>
        <w:rPr>
          <w:rFonts w:asciiTheme="majorHAnsi" w:hAnsiTheme="majorHAnsi"/>
        </w:rPr>
      </w:pPr>
      <w:r w:rsidRPr="00DF18C6">
        <w:rPr>
          <w:rFonts w:asciiTheme="majorHAnsi" w:hAnsiTheme="majorHAnsi"/>
        </w:rPr>
        <w:t>The following are some of the direct impacts that would occur on the Peavine ranch as proposed within the Poeville alternative:  (DEIS, Table 2.3-1, page 2-9)</w:t>
      </w:r>
    </w:p>
    <w:p w:rsidR="00D53E63" w:rsidRPr="008009DA" w:rsidRDefault="00D53E63" w:rsidP="00D53E63">
      <w:pPr>
        <w:pStyle w:val="ListParagraph"/>
        <w:numPr>
          <w:ilvl w:val="0"/>
          <w:numId w:val="7"/>
        </w:numPr>
        <w:rPr>
          <w:rFonts w:asciiTheme="majorHAnsi" w:hAnsiTheme="majorHAnsi"/>
        </w:rPr>
      </w:pPr>
      <w:r w:rsidRPr="00DF18C6">
        <w:rPr>
          <w:rFonts w:asciiTheme="majorHAnsi" w:hAnsiTheme="majorHAnsi"/>
        </w:rPr>
        <w:t xml:space="preserve">8 power pole structures, each requiring a construction </w:t>
      </w:r>
      <w:r w:rsidRPr="008009DA">
        <w:rPr>
          <w:rFonts w:asciiTheme="majorHAnsi" w:hAnsiTheme="majorHAnsi"/>
        </w:rPr>
        <w:t>pad up to 1 acre in size.</w:t>
      </w:r>
    </w:p>
    <w:p w:rsidR="00D53E63" w:rsidRPr="008009DA" w:rsidRDefault="00D53E63" w:rsidP="00D53E63">
      <w:pPr>
        <w:pStyle w:val="ListParagraph"/>
        <w:numPr>
          <w:ilvl w:val="0"/>
          <w:numId w:val="7"/>
        </w:numPr>
        <w:rPr>
          <w:rFonts w:asciiTheme="majorHAnsi" w:hAnsiTheme="majorHAnsi"/>
        </w:rPr>
      </w:pPr>
      <w:r w:rsidRPr="008009DA">
        <w:rPr>
          <w:rFonts w:asciiTheme="majorHAnsi" w:hAnsiTheme="majorHAnsi"/>
        </w:rPr>
        <w:t>8 excavation and pole foundations, backhoe excavation and blasting could be used.  Concrete foundations could be cast-in-place and vary from 12-40 feet below ground surface and 3-12 feet in diameter (at each site).</w:t>
      </w:r>
    </w:p>
    <w:p w:rsidR="00D53E63" w:rsidRPr="008009DA" w:rsidRDefault="00D53E63" w:rsidP="00D53E63">
      <w:pPr>
        <w:pStyle w:val="ListParagraph"/>
        <w:numPr>
          <w:ilvl w:val="0"/>
          <w:numId w:val="7"/>
        </w:numPr>
        <w:rPr>
          <w:rFonts w:asciiTheme="majorHAnsi" w:hAnsiTheme="majorHAnsi"/>
        </w:rPr>
      </w:pPr>
      <w:r w:rsidRPr="008009DA">
        <w:rPr>
          <w:rFonts w:asciiTheme="majorHAnsi" w:hAnsiTheme="majorHAnsi"/>
        </w:rPr>
        <w:lastRenderedPageBreak/>
        <w:t>Without having an engineered alternative, I am assuming some of these poles could be up to 3-pole structures requiring guyed anchors set back up to 60 feet from the pole structures.</w:t>
      </w:r>
    </w:p>
    <w:p w:rsidR="00D53E63" w:rsidRPr="008009DA" w:rsidRDefault="00D53E63" w:rsidP="00D53E63">
      <w:pPr>
        <w:pStyle w:val="ListParagraph"/>
        <w:numPr>
          <w:ilvl w:val="0"/>
          <w:numId w:val="7"/>
        </w:numPr>
        <w:rPr>
          <w:rFonts w:asciiTheme="majorHAnsi" w:hAnsiTheme="majorHAnsi"/>
        </w:rPr>
      </w:pPr>
      <w:r w:rsidRPr="008009DA">
        <w:rPr>
          <w:rFonts w:asciiTheme="majorHAnsi" w:hAnsiTheme="majorHAnsi"/>
        </w:rPr>
        <w:t xml:space="preserve">Power pole assembly at each of the 8 sites for a single pole is disclosed to require ground disturbance of an 85 foot radius </w:t>
      </w:r>
    </w:p>
    <w:p w:rsidR="00D53E63" w:rsidRPr="008009DA" w:rsidRDefault="00D53E63" w:rsidP="00D53E63">
      <w:pPr>
        <w:pStyle w:val="ListParagraph"/>
        <w:numPr>
          <w:ilvl w:val="0"/>
          <w:numId w:val="7"/>
        </w:numPr>
        <w:rPr>
          <w:rFonts w:asciiTheme="majorHAnsi" w:hAnsiTheme="majorHAnsi"/>
        </w:rPr>
      </w:pPr>
      <w:r w:rsidRPr="008009DA">
        <w:rPr>
          <w:rFonts w:asciiTheme="majorHAnsi" w:hAnsiTheme="majorHAnsi"/>
        </w:rPr>
        <w:t xml:space="preserve">Tree removal </w:t>
      </w:r>
      <w:r w:rsidR="00C11A0B" w:rsidRPr="008009DA">
        <w:rPr>
          <w:rFonts w:asciiTheme="majorHAnsi" w:hAnsiTheme="majorHAnsi"/>
        </w:rPr>
        <w:t>within the 90 foot ROW</w:t>
      </w:r>
      <w:r w:rsidRPr="008009DA">
        <w:rPr>
          <w:rFonts w:asciiTheme="majorHAnsi" w:hAnsiTheme="majorHAnsi"/>
        </w:rPr>
        <w:t xml:space="preserve"> plus any that may have the potential to fall on the transmission line wire.  </w:t>
      </w:r>
    </w:p>
    <w:p w:rsidR="00D53E63" w:rsidRPr="00DF18C6" w:rsidRDefault="00D53E63" w:rsidP="00D53E63">
      <w:pPr>
        <w:pStyle w:val="ListParagraph"/>
        <w:numPr>
          <w:ilvl w:val="0"/>
          <w:numId w:val="7"/>
        </w:numPr>
        <w:rPr>
          <w:rFonts w:asciiTheme="majorHAnsi" w:hAnsiTheme="majorHAnsi"/>
        </w:rPr>
      </w:pPr>
      <w:r w:rsidRPr="008009DA">
        <w:rPr>
          <w:rFonts w:asciiTheme="majorHAnsi" w:hAnsiTheme="majorHAnsi"/>
        </w:rPr>
        <w:t>Construction equip</w:t>
      </w:r>
      <w:r w:rsidR="00C11A0B" w:rsidRPr="008009DA">
        <w:rPr>
          <w:rFonts w:asciiTheme="majorHAnsi" w:hAnsiTheme="majorHAnsi"/>
        </w:rPr>
        <w:t>ment, up to 75 tons in weight, c</w:t>
      </w:r>
      <w:r w:rsidRPr="008009DA">
        <w:rPr>
          <w:rFonts w:asciiTheme="majorHAnsi" w:hAnsiTheme="majorHAnsi"/>
        </w:rPr>
        <w:t>ould be used at each</w:t>
      </w:r>
      <w:r w:rsidRPr="00DF18C6">
        <w:rPr>
          <w:rFonts w:asciiTheme="majorHAnsi" w:hAnsiTheme="majorHAnsi"/>
        </w:rPr>
        <w:t xml:space="preserve"> site.</w:t>
      </w:r>
    </w:p>
    <w:p w:rsidR="007F666A" w:rsidRPr="00DF18C6" w:rsidRDefault="007F666A" w:rsidP="007F666A">
      <w:pPr>
        <w:pStyle w:val="ListParagraph"/>
        <w:rPr>
          <w:rFonts w:asciiTheme="majorHAnsi" w:hAnsiTheme="majorHAnsi"/>
        </w:rPr>
      </w:pPr>
    </w:p>
    <w:p w:rsidR="007F666A" w:rsidRPr="00DF18C6" w:rsidRDefault="001043BA" w:rsidP="007F666A">
      <w:pPr>
        <w:pStyle w:val="ListParagraph"/>
        <w:ind w:left="418"/>
        <w:rPr>
          <w:rFonts w:asciiTheme="majorHAnsi" w:hAnsiTheme="majorHAnsi"/>
        </w:rPr>
      </w:pPr>
      <w:r w:rsidRPr="00DF18C6">
        <w:rPr>
          <w:rFonts w:asciiTheme="majorHAnsi" w:hAnsiTheme="majorHAnsi"/>
        </w:rPr>
        <w:t xml:space="preserve">The </w:t>
      </w:r>
      <w:r w:rsidR="008009DA">
        <w:rPr>
          <w:rFonts w:asciiTheme="majorHAnsi" w:hAnsiTheme="majorHAnsi"/>
        </w:rPr>
        <w:t xml:space="preserve">DEIS stated that the </w:t>
      </w:r>
      <w:r w:rsidRPr="00DF18C6">
        <w:rPr>
          <w:rFonts w:asciiTheme="majorHAnsi" w:hAnsiTheme="majorHAnsi"/>
        </w:rPr>
        <w:t>“Peavine Ranch Northside of U.S. 395”</w:t>
      </w:r>
      <w:r w:rsidR="008009DA">
        <w:rPr>
          <w:rFonts w:asciiTheme="majorHAnsi" w:hAnsiTheme="majorHAnsi"/>
        </w:rPr>
        <w:t xml:space="preserve"> Alternative</w:t>
      </w:r>
      <w:r w:rsidRPr="00DF18C6">
        <w:rPr>
          <w:rFonts w:asciiTheme="majorHAnsi" w:hAnsiTheme="majorHAnsi"/>
        </w:rPr>
        <w:t xml:space="preserve"> was dropped fr</w:t>
      </w:r>
      <w:r w:rsidR="008009DA">
        <w:rPr>
          <w:rFonts w:asciiTheme="majorHAnsi" w:hAnsiTheme="majorHAnsi"/>
        </w:rPr>
        <w:t xml:space="preserve">om further consideration: </w:t>
      </w:r>
      <w:r w:rsidRPr="00DF18C6">
        <w:rPr>
          <w:rFonts w:asciiTheme="majorHAnsi" w:hAnsiTheme="majorHAnsi"/>
        </w:rPr>
        <w:t xml:space="preserve"> </w:t>
      </w:r>
      <w:r w:rsidRPr="00DF18C6">
        <w:rPr>
          <w:rFonts w:asciiTheme="majorHAnsi" w:hAnsiTheme="majorHAnsi"/>
          <w:i/>
        </w:rPr>
        <w:t xml:space="preserve">“To address the concerns about effects to the historic setting of the Peavine Ranch, the USFS consulted with the SHPO to develop mitigation measures. Concerns would be addressed through implementation of </w:t>
      </w:r>
      <w:r w:rsidRPr="00DF18C6">
        <w:rPr>
          <w:rFonts w:asciiTheme="majorHAnsi" w:hAnsiTheme="majorHAnsi"/>
          <w:b/>
          <w:i/>
        </w:rPr>
        <w:t>design features</w:t>
      </w:r>
      <w:r w:rsidRPr="00DF18C6">
        <w:rPr>
          <w:rFonts w:asciiTheme="majorHAnsi" w:hAnsiTheme="majorHAnsi"/>
          <w:i/>
        </w:rPr>
        <w:t xml:space="preserve"> for the Poeville Alternative.  Consequently, this alternative was dismissed because it would not be economically practical to construct the proposed transmission line across U.S. Highway 395 </w:t>
      </w:r>
      <w:r w:rsidRPr="00DF18C6">
        <w:rPr>
          <w:rFonts w:asciiTheme="majorHAnsi" w:hAnsiTheme="majorHAnsi"/>
          <w:b/>
          <w:i/>
        </w:rPr>
        <w:t>if there are no mitigation benefits to gain from doing so</w:t>
      </w:r>
      <w:r w:rsidRPr="00DF18C6">
        <w:rPr>
          <w:rFonts w:asciiTheme="majorHAnsi" w:hAnsiTheme="majorHAnsi"/>
          <w:i/>
        </w:rPr>
        <w:t>.” (page 2-26)</w:t>
      </w:r>
      <w:r w:rsidRPr="00DF18C6">
        <w:rPr>
          <w:rFonts w:asciiTheme="majorHAnsi" w:hAnsiTheme="majorHAnsi"/>
        </w:rPr>
        <w:t xml:space="preserve">  </w:t>
      </w:r>
    </w:p>
    <w:p w:rsidR="007F666A" w:rsidRPr="00DF18C6" w:rsidRDefault="007F666A" w:rsidP="007F666A">
      <w:pPr>
        <w:pStyle w:val="ListParagraph"/>
        <w:ind w:left="418"/>
        <w:rPr>
          <w:rFonts w:asciiTheme="majorHAnsi" w:hAnsiTheme="majorHAnsi"/>
        </w:rPr>
      </w:pPr>
    </w:p>
    <w:p w:rsidR="007F666A" w:rsidRPr="00DF18C6" w:rsidRDefault="001043BA" w:rsidP="007F666A">
      <w:pPr>
        <w:pStyle w:val="ListParagraph"/>
        <w:ind w:left="418"/>
        <w:rPr>
          <w:rFonts w:asciiTheme="majorHAnsi" w:hAnsiTheme="majorHAnsi"/>
        </w:rPr>
      </w:pPr>
      <w:r w:rsidRPr="00DF18C6">
        <w:rPr>
          <w:rFonts w:asciiTheme="majorHAnsi" w:hAnsiTheme="majorHAnsi"/>
        </w:rPr>
        <w:t>According to the design features on page 2-21, “</w:t>
      </w:r>
      <w:r w:rsidRPr="00DF18C6">
        <w:rPr>
          <w:rFonts w:asciiTheme="majorHAnsi" w:hAnsiTheme="majorHAnsi"/>
          <w:i/>
        </w:rPr>
        <w:t>to avoid impacts to private property and historic setting of Peavine Ranch, the Poeville Alternative was moved to the perimeter of the Peavine Ranch property.”</w:t>
      </w:r>
      <w:r w:rsidRPr="00DF18C6">
        <w:rPr>
          <w:rFonts w:asciiTheme="majorHAnsi" w:hAnsiTheme="majorHAnsi"/>
        </w:rPr>
        <w:t xml:space="preserve">  Adjusting the line to the perimeter does not diminish the direct adverse impacts listed above.  Page 2-21, 2.8.3 is entitled </w:t>
      </w:r>
      <w:r w:rsidRPr="00DF18C6">
        <w:rPr>
          <w:rFonts w:asciiTheme="majorHAnsi" w:hAnsiTheme="majorHAnsi"/>
          <w:i/>
        </w:rPr>
        <w:t>“Peavine Ranch Off Property Route Adjustment”</w:t>
      </w:r>
      <w:r w:rsidRPr="00DF18C6">
        <w:rPr>
          <w:rFonts w:asciiTheme="majorHAnsi" w:hAnsiTheme="majorHAnsi"/>
        </w:rPr>
        <w:t xml:space="preserve">.   However, the adjustment described in the paragraph and maps show that the line was moved to the perimeter of the Peavine Ranch.  This wording is misleading to the public.   This places the line directly on the property, in the path of the historic dump, and in close proximity of the historic buildings.  The new ROW requirements would dictate the removal of brush and old growth trees that were described as part of the historic context when it was listed as an NRHP site.  </w:t>
      </w:r>
    </w:p>
    <w:p w:rsidR="007F666A" w:rsidRPr="00DF18C6" w:rsidRDefault="007F666A" w:rsidP="007F666A">
      <w:pPr>
        <w:pStyle w:val="ListParagraph"/>
        <w:ind w:left="418"/>
        <w:rPr>
          <w:rFonts w:asciiTheme="majorHAnsi" w:hAnsiTheme="majorHAnsi"/>
        </w:rPr>
      </w:pPr>
    </w:p>
    <w:p w:rsidR="001043BA" w:rsidRPr="00DF18C6" w:rsidRDefault="00D53E63" w:rsidP="007F666A">
      <w:pPr>
        <w:pStyle w:val="ListParagraph"/>
        <w:ind w:left="418"/>
        <w:rPr>
          <w:rFonts w:asciiTheme="majorHAnsi" w:hAnsiTheme="majorHAnsi"/>
        </w:rPr>
      </w:pPr>
      <w:r w:rsidRPr="00DF18C6">
        <w:rPr>
          <w:rFonts w:asciiTheme="majorHAnsi" w:hAnsiTheme="majorHAnsi"/>
        </w:rPr>
        <w:t>T</w:t>
      </w:r>
      <w:r w:rsidR="001043BA" w:rsidRPr="00DF18C6">
        <w:rPr>
          <w:rFonts w:asciiTheme="majorHAnsi" w:hAnsiTheme="majorHAnsi"/>
        </w:rPr>
        <w:t xml:space="preserve">he justification for dropping this alternative from further study is erroneous.  I believe this is still a viable alternative to mitigate the impacts to the Peavine Ranch.  If the Agency does not analyze the environmental effects of this route deviation, then it will not be considered </w:t>
      </w:r>
      <w:r w:rsidRPr="00DF18C6">
        <w:rPr>
          <w:rFonts w:asciiTheme="majorHAnsi" w:hAnsiTheme="majorHAnsi"/>
        </w:rPr>
        <w:t xml:space="preserve">as </w:t>
      </w:r>
      <w:r w:rsidR="001043BA" w:rsidRPr="00DF18C6">
        <w:rPr>
          <w:rFonts w:asciiTheme="majorHAnsi" w:hAnsiTheme="majorHAnsi"/>
        </w:rPr>
        <w:t xml:space="preserve">a viable </w:t>
      </w:r>
      <w:r w:rsidRPr="00DF18C6">
        <w:rPr>
          <w:rFonts w:asciiTheme="majorHAnsi" w:hAnsiTheme="majorHAnsi"/>
        </w:rPr>
        <w:t>solution</w:t>
      </w:r>
      <w:r w:rsidR="001043BA" w:rsidRPr="00DF18C6">
        <w:rPr>
          <w:rFonts w:asciiTheme="majorHAnsi" w:hAnsiTheme="majorHAnsi"/>
        </w:rPr>
        <w:t xml:space="preserve"> for mitigation during the 106-consultation process.  </w:t>
      </w:r>
    </w:p>
    <w:p w:rsidR="001043BA" w:rsidRPr="00C11A0B" w:rsidRDefault="001043BA" w:rsidP="007F666A">
      <w:pPr>
        <w:pStyle w:val="ListParagraph"/>
        <w:ind w:left="418"/>
        <w:rPr>
          <w:rFonts w:asciiTheme="majorHAnsi" w:hAnsiTheme="majorHAnsi"/>
        </w:rPr>
      </w:pPr>
    </w:p>
    <w:p w:rsidR="006C7E86" w:rsidRPr="00C11A0B" w:rsidRDefault="006C7E86" w:rsidP="007F666A">
      <w:pPr>
        <w:pStyle w:val="ListParagraph"/>
        <w:ind w:left="418"/>
        <w:rPr>
          <w:rFonts w:asciiTheme="majorHAnsi" w:hAnsiTheme="majorHAnsi"/>
        </w:rPr>
      </w:pPr>
      <w:r w:rsidRPr="00C11A0B">
        <w:rPr>
          <w:rFonts w:asciiTheme="majorHAnsi" w:hAnsiTheme="majorHAnsi"/>
        </w:rPr>
        <w:t xml:space="preserve">The DEIS , on page 3-141 and Table 3.15-1, states </w:t>
      </w:r>
      <w:r w:rsidR="00C11A0B" w:rsidRPr="00C11A0B">
        <w:rPr>
          <w:rFonts w:asciiTheme="majorHAnsi" w:hAnsiTheme="majorHAnsi"/>
        </w:rPr>
        <w:t xml:space="preserve">that </w:t>
      </w:r>
      <w:r w:rsidRPr="00C11A0B">
        <w:rPr>
          <w:rFonts w:asciiTheme="majorHAnsi" w:hAnsiTheme="majorHAnsi"/>
        </w:rPr>
        <w:t>it is</w:t>
      </w:r>
      <w:r w:rsidR="003E0718" w:rsidRPr="00C11A0B">
        <w:rPr>
          <w:rFonts w:asciiTheme="majorHAnsi" w:hAnsiTheme="majorHAnsi"/>
        </w:rPr>
        <w:t xml:space="preserve"> in conformance with the Archeological Resource Protection Act of 1979.  “</w:t>
      </w:r>
      <w:r w:rsidR="003E0718" w:rsidRPr="00C11A0B">
        <w:rPr>
          <w:rFonts w:asciiTheme="majorHAnsi" w:hAnsiTheme="majorHAnsi"/>
          <w:i/>
        </w:rPr>
        <w:t>Design features (Appendix B) have been developed to prohibit the collection or disturbance of archeological sites encountered during construction or maintenance of the project.</w:t>
      </w:r>
      <w:r w:rsidR="003E0718" w:rsidRPr="00C11A0B">
        <w:rPr>
          <w:rFonts w:asciiTheme="majorHAnsi" w:hAnsiTheme="majorHAnsi"/>
        </w:rPr>
        <w:t xml:space="preserve"> “  This statement is false as t</w:t>
      </w:r>
      <w:r w:rsidR="00C11A0B" w:rsidRPr="00C11A0B">
        <w:rPr>
          <w:rFonts w:asciiTheme="majorHAnsi" w:hAnsiTheme="majorHAnsi"/>
        </w:rPr>
        <w:t>he construction of the transmission line</w:t>
      </w:r>
      <w:r w:rsidR="003E0718" w:rsidRPr="00C11A0B">
        <w:rPr>
          <w:rFonts w:asciiTheme="majorHAnsi" w:hAnsiTheme="majorHAnsi"/>
        </w:rPr>
        <w:t xml:space="preserve"> on the Peavine ranch will not be able to avoid the destruction </w:t>
      </w:r>
      <w:r w:rsidR="00FE36BF" w:rsidRPr="00C11A0B">
        <w:rPr>
          <w:rFonts w:asciiTheme="majorHAnsi" w:hAnsiTheme="majorHAnsi"/>
        </w:rPr>
        <w:t>and disturbance of the historic</w:t>
      </w:r>
      <w:r w:rsidR="003E0718" w:rsidRPr="00C11A0B">
        <w:rPr>
          <w:rFonts w:asciiTheme="majorHAnsi" w:hAnsiTheme="majorHAnsi"/>
        </w:rPr>
        <w:t xml:space="preserve"> resources on the property.  </w:t>
      </w:r>
    </w:p>
    <w:p w:rsidR="003E0718" w:rsidRPr="00C11A0B" w:rsidRDefault="003E0718" w:rsidP="003A4D5C">
      <w:pPr>
        <w:pStyle w:val="ListParagraph"/>
        <w:ind w:left="420"/>
        <w:rPr>
          <w:rFonts w:asciiTheme="majorHAnsi" w:hAnsiTheme="majorHAnsi"/>
        </w:rPr>
      </w:pPr>
    </w:p>
    <w:p w:rsidR="003A4D5C" w:rsidRPr="00C11A0B" w:rsidRDefault="00783E9F" w:rsidP="003A4D5C">
      <w:pPr>
        <w:pStyle w:val="ListParagraph"/>
        <w:ind w:left="420"/>
        <w:rPr>
          <w:rFonts w:asciiTheme="majorHAnsi" w:hAnsiTheme="majorHAnsi"/>
        </w:rPr>
      </w:pPr>
      <w:r w:rsidRPr="00C11A0B">
        <w:rPr>
          <w:rFonts w:asciiTheme="majorHAnsi" w:hAnsiTheme="majorHAnsi"/>
        </w:rPr>
        <w:t xml:space="preserve">The DEIS, </w:t>
      </w:r>
      <w:r w:rsidR="003A4D5C" w:rsidRPr="00C11A0B">
        <w:rPr>
          <w:rFonts w:asciiTheme="majorHAnsi" w:hAnsiTheme="majorHAnsi"/>
        </w:rPr>
        <w:t xml:space="preserve">Appendix B, page B-11, lists the proposed design features specific to the Peavine Ranch for mitigating the impacts associated with the alternative.  </w:t>
      </w:r>
    </w:p>
    <w:p w:rsidR="002A22D0" w:rsidRPr="00C11A0B" w:rsidRDefault="003A4D5C" w:rsidP="002A22D0">
      <w:pPr>
        <w:pStyle w:val="ListParagraph"/>
        <w:ind w:left="420"/>
        <w:rPr>
          <w:rFonts w:asciiTheme="majorHAnsi" w:hAnsiTheme="majorHAnsi"/>
        </w:rPr>
      </w:pPr>
      <w:r w:rsidRPr="00C11A0B">
        <w:rPr>
          <w:rFonts w:asciiTheme="majorHAnsi" w:hAnsiTheme="majorHAnsi"/>
          <w:b/>
        </w:rPr>
        <w:lastRenderedPageBreak/>
        <w:t>CU 8 – CU</w:t>
      </w:r>
      <w:r w:rsidR="002A22D0" w:rsidRPr="00C11A0B">
        <w:rPr>
          <w:rFonts w:asciiTheme="majorHAnsi" w:hAnsiTheme="majorHAnsi"/>
          <w:b/>
        </w:rPr>
        <w:t xml:space="preserve"> </w:t>
      </w:r>
      <w:r w:rsidRPr="00C11A0B">
        <w:rPr>
          <w:rFonts w:asciiTheme="majorHAnsi" w:hAnsiTheme="majorHAnsi"/>
          <w:b/>
        </w:rPr>
        <w:t>11</w:t>
      </w:r>
      <w:r w:rsidRPr="00C11A0B">
        <w:rPr>
          <w:rFonts w:asciiTheme="majorHAnsi" w:hAnsiTheme="majorHAnsi"/>
        </w:rPr>
        <w:t xml:space="preserve"> attempt to mitigate the visual impact</w:t>
      </w:r>
      <w:r w:rsidR="002A22D0" w:rsidRPr="00C11A0B">
        <w:rPr>
          <w:rFonts w:asciiTheme="majorHAnsi" w:hAnsiTheme="majorHAnsi"/>
        </w:rPr>
        <w:t>s</w:t>
      </w:r>
      <w:r w:rsidRPr="00C11A0B">
        <w:rPr>
          <w:rFonts w:asciiTheme="majorHAnsi" w:hAnsiTheme="majorHAnsi"/>
        </w:rPr>
        <w:t xml:space="preserve"> of the alternative.  </w:t>
      </w:r>
      <w:r w:rsidR="002A22D0" w:rsidRPr="00C11A0B">
        <w:rPr>
          <w:rFonts w:asciiTheme="majorHAnsi" w:hAnsiTheme="majorHAnsi"/>
        </w:rPr>
        <w:t xml:space="preserve">These measures require the placement of power lines 25 feet higher on the pole, but do not indicate if a larger or taller pole would be necessary to provide this height.  It is unknown if the impacts of this mitigation would actually cause a larger “foot print” on the ground.  </w:t>
      </w:r>
    </w:p>
    <w:p w:rsidR="002A22D0" w:rsidRPr="00C11A0B" w:rsidRDefault="002A22D0" w:rsidP="002A22D0">
      <w:pPr>
        <w:pStyle w:val="ListParagraph"/>
        <w:ind w:left="420"/>
        <w:rPr>
          <w:rFonts w:asciiTheme="majorHAnsi" w:hAnsiTheme="majorHAnsi"/>
        </w:rPr>
      </w:pPr>
      <w:r w:rsidRPr="00C11A0B">
        <w:rPr>
          <w:rFonts w:asciiTheme="majorHAnsi" w:hAnsiTheme="majorHAnsi"/>
          <w:b/>
        </w:rPr>
        <w:t>CU 12</w:t>
      </w:r>
      <w:r w:rsidRPr="00C11A0B">
        <w:rPr>
          <w:rFonts w:asciiTheme="majorHAnsi" w:hAnsiTheme="majorHAnsi"/>
        </w:rPr>
        <w:t xml:space="preserve"> proposes mitigation measures that include an off-site historical marker discussing ranching in the general area.  An interpretive marker was erected at the intersection of Red Rock Road and Virginia Street as mitigation for the Alturas Transmission Line.  There is no further need for another marker.  </w:t>
      </w:r>
    </w:p>
    <w:p w:rsidR="002A22D0" w:rsidRPr="00C11A0B" w:rsidRDefault="002A22D0" w:rsidP="002A22D0">
      <w:pPr>
        <w:pStyle w:val="ListParagraph"/>
        <w:ind w:left="420"/>
        <w:rPr>
          <w:rFonts w:asciiTheme="majorHAnsi" w:hAnsiTheme="majorHAnsi"/>
        </w:rPr>
      </w:pPr>
    </w:p>
    <w:p w:rsidR="009E791B" w:rsidRPr="00087FDB" w:rsidRDefault="005C7617" w:rsidP="003A4D5C">
      <w:pPr>
        <w:pStyle w:val="ListParagraph"/>
        <w:ind w:left="420"/>
        <w:rPr>
          <w:rFonts w:asciiTheme="majorHAnsi" w:hAnsiTheme="majorHAnsi"/>
        </w:rPr>
      </w:pPr>
      <w:r w:rsidRPr="00C11A0B">
        <w:rPr>
          <w:rFonts w:asciiTheme="majorHAnsi" w:hAnsiTheme="majorHAnsi"/>
        </w:rPr>
        <w:t>The Project Design Features specific to protecting cultural resources state</w:t>
      </w:r>
      <w:r w:rsidR="00E04440" w:rsidRPr="00C11A0B">
        <w:rPr>
          <w:rFonts w:asciiTheme="majorHAnsi" w:hAnsiTheme="majorHAnsi"/>
        </w:rPr>
        <w:t xml:space="preserve"> that </w:t>
      </w:r>
      <w:r w:rsidR="00E04440" w:rsidRPr="00C11A0B">
        <w:rPr>
          <w:rFonts w:asciiTheme="majorHAnsi" w:hAnsiTheme="majorHAnsi"/>
          <w:i/>
        </w:rPr>
        <w:t>“cultural sites identified as eligible for inclusion on the NRHP would be avoided</w:t>
      </w:r>
      <w:r w:rsidR="00E41129" w:rsidRPr="00C11A0B">
        <w:rPr>
          <w:rFonts w:asciiTheme="majorHAnsi" w:hAnsiTheme="majorHAnsi"/>
          <w:i/>
        </w:rPr>
        <w:t xml:space="preserve"> </w:t>
      </w:r>
      <w:r w:rsidRPr="00C11A0B">
        <w:rPr>
          <w:rFonts w:asciiTheme="majorHAnsi" w:hAnsiTheme="majorHAnsi"/>
          <w:i/>
        </w:rPr>
        <w:t>(Apx. B,</w:t>
      </w:r>
      <w:r w:rsidRPr="00C11A0B">
        <w:rPr>
          <w:rFonts w:asciiTheme="majorHAnsi" w:hAnsiTheme="majorHAnsi"/>
        </w:rPr>
        <w:t xml:space="preserve"> CU 3</w:t>
      </w:r>
      <w:r w:rsidRPr="00C11A0B">
        <w:rPr>
          <w:rFonts w:asciiTheme="majorHAnsi" w:hAnsiTheme="majorHAnsi"/>
          <w:i/>
        </w:rPr>
        <w:t xml:space="preserve">, page B-8).  </w:t>
      </w:r>
      <w:r w:rsidRPr="00C11A0B">
        <w:rPr>
          <w:rFonts w:asciiTheme="majorHAnsi" w:hAnsiTheme="majorHAnsi"/>
        </w:rPr>
        <w:t xml:space="preserve"> </w:t>
      </w:r>
      <w:r w:rsidR="005F7F58" w:rsidRPr="00C11A0B">
        <w:rPr>
          <w:rFonts w:asciiTheme="majorHAnsi" w:hAnsiTheme="majorHAnsi"/>
        </w:rPr>
        <w:t xml:space="preserve">The </w:t>
      </w:r>
      <w:r w:rsidR="009E791B" w:rsidRPr="00C11A0B">
        <w:rPr>
          <w:rFonts w:asciiTheme="majorHAnsi" w:hAnsiTheme="majorHAnsi"/>
        </w:rPr>
        <w:t xml:space="preserve">Poeville Alternative </w:t>
      </w:r>
      <w:r w:rsidR="005F7F58" w:rsidRPr="00C11A0B">
        <w:rPr>
          <w:rFonts w:asciiTheme="majorHAnsi" w:hAnsiTheme="majorHAnsi"/>
        </w:rPr>
        <w:t>does not offer an alternative to</w:t>
      </w:r>
      <w:r w:rsidR="005D0CAC" w:rsidRPr="00C11A0B">
        <w:rPr>
          <w:rFonts w:asciiTheme="majorHAnsi" w:hAnsiTheme="majorHAnsi"/>
        </w:rPr>
        <w:t xml:space="preserve"> avoid</w:t>
      </w:r>
      <w:r w:rsidR="005F7F58" w:rsidRPr="00C11A0B">
        <w:rPr>
          <w:rFonts w:asciiTheme="majorHAnsi" w:hAnsiTheme="majorHAnsi"/>
        </w:rPr>
        <w:t xml:space="preserve"> direct impacts to the Peavine Ranch, which is the </w:t>
      </w:r>
      <w:r w:rsidR="009E791B" w:rsidRPr="00C11A0B">
        <w:rPr>
          <w:rFonts w:asciiTheme="majorHAnsi" w:hAnsiTheme="majorHAnsi"/>
          <w:b/>
        </w:rPr>
        <w:t>only</w:t>
      </w:r>
      <w:r w:rsidR="009E791B" w:rsidRPr="00C11A0B">
        <w:rPr>
          <w:rFonts w:asciiTheme="majorHAnsi" w:hAnsiTheme="majorHAnsi"/>
        </w:rPr>
        <w:t xml:space="preserve"> NRHP listed site within the entire planning area.  </w:t>
      </w:r>
      <w:r w:rsidR="005D0CAC" w:rsidRPr="00C11A0B">
        <w:rPr>
          <w:rFonts w:asciiTheme="majorHAnsi" w:hAnsiTheme="majorHAnsi"/>
        </w:rPr>
        <w:t xml:space="preserve">The Final EIS should </w:t>
      </w:r>
      <w:r w:rsidR="00015499" w:rsidRPr="00C11A0B">
        <w:rPr>
          <w:rFonts w:asciiTheme="majorHAnsi" w:hAnsiTheme="majorHAnsi"/>
        </w:rPr>
        <w:t>either include a project design feature that</w:t>
      </w:r>
      <w:r w:rsidR="005D0CAC" w:rsidRPr="00C11A0B">
        <w:rPr>
          <w:rFonts w:asciiTheme="majorHAnsi" w:hAnsiTheme="majorHAnsi"/>
        </w:rPr>
        <w:t xml:space="preserve"> places the powerline underground for a distance of approximately 1450 feet, located within the strip of NDOT/NV Energy property between the frontage road and US 395; or analyze the previously dropped alternative location on the Northside of U.S. 395.</w:t>
      </w:r>
      <w:r w:rsidR="00E41129" w:rsidRPr="00087FDB">
        <w:rPr>
          <w:rFonts w:asciiTheme="majorHAnsi" w:hAnsiTheme="majorHAnsi"/>
        </w:rPr>
        <w:t xml:space="preserve"> </w:t>
      </w:r>
    </w:p>
    <w:p w:rsidR="00407E9D" w:rsidRPr="00087FDB" w:rsidRDefault="00407E9D" w:rsidP="00407E9D">
      <w:pPr>
        <w:pStyle w:val="ListParagraph"/>
        <w:ind w:left="420"/>
        <w:rPr>
          <w:rFonts w:asciiTheme="majorHAnsi" w:hAnsiTheme="majorHAnsi"/>
        </w:rPr>
      </w:pPr>
    </w:p>
    <w:p w:rsidR="00C21B83" w:rsidRPr="00AD0B24" w:rsidRDefault="00087FDB" w:rsidP="005E0C06">
      <w:pPr>
        <w:pStyle w:val="ListParagraph"/>
        <w:ind w:left="420"/>
        <w:rPr>
          <w:rFonts w:asciiTheme="majorHAnsi" w:hAnsiTheme="majorHAnsi"/>
          <w:b/>
        </w:rPr>
      </w:pPr>
      <w:r w:rsidRPr="00AD0B24">
        <w:rPr>
          <w:rFonts w:asciiTheme="majorHAnsi" w:hAnsiTheme="majorHAnsi"/>
        </w:rPr>
        <w:t xml:space="preserve">The National Historic Preservation Act </w:t>
      </w:r>
      <w:r w:rsidR="00407E9D" w:rsidRPr="00AD0B24">
        <w:rPr>
          <w:rFonts w:asciiTheme="majorHAnsi" w:hAnsiTheme="majorHAnsi"/>
        </w:rPr>
        <w:t>regulations defines adverse effects as those that can diminish the integrity of the property’s location, setting, design, materials, workmanship, feeling, or association.</w:t>
      </w:r>
      <w:r w:rsidRPr="00AD0B24">
        <w:rPr>
          <w:rFonts w:asciiTheme="majorHAnsi" w:hAnsiTheme="majorHAnsi"/>
        </w:rPr>
        <w:t xml:space="preserve"> </w:t>
      </w:r>
      <w:r w:rsidR="00407E9D" w:rsidRPr="00AD0B24">
        <w:rPr>
          <w:rFonts w:asciiTheme="majorHAnsi" w:hAnsiTheme="majorHAnsi"/>
        </w:rPr>
        <w:t>The proposed ROW</w:t>
      </w:r>
      <w:r w:rsidR="00076CE1" w:rsidRPr="00AD0B24">
        <w:rPr>
          <w:rFonts w:asciiTheme="majorHAnsi" w:hAnsiTheme="majorHAnsi"/>
        </w:rPr>
        <w:t>, which requires the removal</w:t>
      </w:r>
      <w:r w:rsidRPr="00AD0B24">
        <w:rPr>
          <w:rFonts w:asciiTheme="majorHAnsi" w:hAnsiTheme="majorHAnsi"/>
        </w:rPr>
        <w:t xml:space="preserve"> and maintained absence</w:t>
      </w:r>
      <w:r w:rsidR="00076CE1" w:rsidRPr="00AD0B24">
        <w:rPr>
          <w:rFonts w:asciiTheme="majorHAnsi" w:hAnsiTheme="majorHAnsi"/>
        </w:rPr>
        <w:t xml:space="preserve"> of old growth trees and shrubs,</w:t>
      </w:r>
      <w:r w:rsidR="00407E9D" w:rsidRPr="00AD0B24">
        <w:rPr>
          <w:rFonts w:asciiTheme="majorHAnsi" w:hAnsiTheme="majorHAnsi"/>
        </w:rPr>
        <w:t xml:space="preserve"> </w:t>
      </w:r>
      <w:r w:rsidR="00076CE1" w:rsidRPr="00AD0B24">
        <w:rPr>
          <w:rFonts w:asciiTheme="majorHAnsi" w:hAnsiTheme="majorHAnsi"/>
        </w:rPr>
        <w:t xml:space="preserve">impacts </w:t>
      </w:r>
      <w:r w:rsidR="00407E9D" w:rsidRPr="00AD0B24">
        <w:rPr>
          <w:rFonts w:asciiTheme="majorHAnsi" w:hAnsiTheme="majorHAnsi"/>
        </w:rPr>
        <w:t>the</w:t>
      </w:r>
      <w:r w:rsidRPr="00AD0B24">
        <w:rPr>
          <w:rFonts w:asciiTheme="majorHAnsi" w:hAnsiTheme="majorHAnsi"/>
        </w:rPr>
        <w:t xml:space="preserve"> NRHP</w:t>
      </w:r>
      <w:r w:rsidR="00783E9F" w:rsidRPr="00AD0B24">
        <w:rPr>
          <w:rFonts w:asciiTheme="majorHAnsi" w:hAnsiTheme="majorHAnsi"/>
        </w:rPr>
        <w:t xml:space="preserve"> listing </w:t>
      </w:r>
      <w:r w:rsidR="00407E9D" w:rsidRPr="00AD0B24">
        <w:rPr>
          <w:rFonts w:asciiTheme="majorHAnsi" w:hAnsiTheme="majorHAnsi"/>
        </w:rPr>
        <w:t>by diminishing</w:t>
      </w:r>
      <w:r w:rsidR="00076CE1" w:rsidRPr="00AD0B24">
        <w:rPr>
          <w:rFonts w:asciiTheme="majorHAnsi" w:hAnsiTheme="majorHAnsi"/>
        </w:rPr>
        <w:t xml:space="preserve"> site integrity of setting, design, feeling and association.  </w:t>
      </w:r>
      <w:r w:rsidR="003A4D5C" w:rsidRPr="00AD0B24">
        <w:rPr>
          <w:rFonts w:asciiTheme="majorHAnsi" w:hAnsiTheme="majorHAnsi"/>
        </w:rPr>
        <w:t xml:space="preserve">The DEIS does not evaluate the effects resulting from the physical destruction or damage </w:t>
      </w:r>
      <w:r w:rsidRPr="00AD0B24">
        <w:rPr>
          <w:rFonts w:asciiTheme="majorHAnsi" w:hAnsiTheme="majorHAnsi"/>
        </w:rPr>
        <w:t xml:space="preserve">to this historic </w:t>
      </w:r>
      <w:r w:rsidR="003A4D5C" w:rsidRPr="00AD0B24">
        <w:rPr>
          <w:rFonts w:asciiTheme="majorHAnsi" w:hAnsiTheme="majorHAnsi"/>
        </w:rPr>
        <w:t>property; the alteration of the property; the cha</w:t>
      </w:r>
      <w:r w:rsidR="005E0C06">
        <w:rPr>
          <w:rFonts w:asciiTheme="majorHAnsi" w:hAnsiTheme="majorHAnsi"/>
        </w:rPr>
        <w:t xml:space="preserve">nge of the character or </w:t>
      </w:r>
      <w:r w:rsidR="003A4D5C" w:rsidRPr="00AD0B24">
        <w:rPr>
          <w:rFonts w:asciiTheme="majorHAnsi" w:hAnsiTheme="majorHAnsi"/>
        </w:rPr>
        <w:t xml:space="preserve">physical features within the property’s setting that contributes to its historic significance; or the audible elements </w:t>
      </w:r>
      <w:r w:rsidR="00C21B83" w:rsidRPr="00AD0B24">
        <w:rPr>
          <w:rFonts w:asciiTheme="majorHAnsi" w:hAnsiTheme="majorHAnsi"/>
        </w:rPr>
        <w:t>(</w:t>
      </w:r>
      <w:r w:rsidR="00915E55" w:rsidRPr="00915E55">
        <w:rPr>
          <w:rFonts w:asciiTheme="majorHAnsi" w:hAnsiTheme="majorHAnsi"/>
        </w:rPr>
        <w:t>refer to issue 6</w:t>
      </w:r>
      <w:r w:rsidR="00C21B83" w:rsidRPr="00915E55">
        <w:rPr>
          <w:rFonts w:asciiTheme="majorHAnsi" w:hAnsiTheme="majorHAnsi"/>
        </w:rPr>
        <w:t>c</w:t>
      </w:r>
      <w:bookmarkStart w:id="0" w:name="_GoBack"/>
      <w:bookmarkEnd w:id="0"/>
      <w:r w:rsidR="00C21B83" w:rsidRPr="00915E55">
        <w:rPr>
          <w:rFonts w:asciiTheme="majorHAnsi" w:hAnsiTheme="majorHAnsi"/>
        </w:rPr>
        <w:t xml:space="preserve"> below) </w:t>
      </w:r>
      <w:r w:rsidR="003A4D5C" w:rsidRPr="00915E55">
        <w:rPr>
          <w:rFonts w:asciiTheme="majorHAnsi" w:hAnsiTheme="majorHAnsi"/>
        </w:rPr>
        <w:t xml:space="preserve">that diminish the integrity of the properties significant historic features. </w:t>
      </w:r>
      <w:r w:rsidR="005E0C06" w:rsidRPr="00915E55">
        <w:rPr>
          <w:rFonts w:asciiTheme="majorHAnsi" w:hAnsiTheme="majorHAnsi"/>
        </w:rPr>
        <w:t xml:space="preserve"> The DEIS did not </w:t>
      </w:r>
      <w:r w:rsidR="005E0C06">
        <w:rPr>
          <w:rFonts w:asciiTheme="majorHAnsi" w:hAnsiTheme="majorHAnsi"/>
        </w:rPr>
        <w:t>disclose how the Poeville Alternative affects the visual context as it relates to the NRHP listing.  The discussion of foreground of the landscape at KOP 9 and KOP 10 on pages 3-13 and 3-14 was inadequate to assess the impact on the historic and open space values of the Peavine Ranch.</w:t>
      </w:r>
    </w:p>
    <w:p w:rsidR="003A4D5C" w:rsidRPr="00BF7673" w:rsidRDefault="003A4D5C" w:rsidP="003A4D5C">
      <w:pPr>
        <w:pStyle w:val="ListParagraph"/>
        <w:ind w:left="420"/>
        <w:rPr>
          <w:rFonts w:asciiTheme="majorHAnsi" w:hAnsiTheme="majorHAnsi"/>
          <w:highlight w:val="lightGray"/>
        </w:rPr>
      </w:pPr>
    </w:p>
    <w:p w:rsidR="00BF7673" w:rsidRPr="005E0C06" w:rsidRDefault="00BF7673" w:rsidP="00076CE1">
      <w:pPr>
        <w:pStyle w:val="ListParagraph"/>
        <w:ind w:left="418"/>
        <w:rPr>
          <w:rFonts w:asciiTheme="majorHAnsi" w:hAnsiTheme="majorHAnsi"/>
        </w:rPr>
      </w:pPr>
      <w:r w:rsidRPr="005E0C06">
        <w:rPr>
          <w:rFonts w:asciiTheme="majorHAnsi" w:hAnsiTheme="majorHAnsi"/>
          <w:b/>
        </w:rPr>
        <w:t xml:space="preserve">Additional </w:t>
      </w:r>
      <w:r w:rsidR="002B2167">
        <w:rPr>
          <w:rFonts w:asciiTheme="majorHAnsi" w:hAnsiTheme="majorHAnsi"/>
          <w:b/>
        </w:rPr>
        <w:t xml:space="preserve"> direct/</w:t>
      </w:r>
      <w:r w:rsidR="005E0C06" w:rsidRPr="005E0C06">
        <w:rPr>
          <w:rFonts w:asciiTheme="majorHAnsi" w:hAnsiTheme="majorHAnsi"/>
          <w:b/>
        </w:rPr>
        <w:t xml:space="preserve">indirect </w:t>
      </w:r>
      <w:r w:rsidRPr="005E0C06">
        <w:rPr>
          <w:rFonts w:asciiTheme="majorHAnsi" w:hAnsiTheme="majorHAnsi"/>
          <w:b/>
        </w:rPr>
        <w:t>impacts to the Peavine Ra</w:t>
      </w:r>
      <w:r w:rsidR="002B2167">
        <w:rPr>
          <w:rFonts w:asciiTheme="majorHAnsi" w:hAnsiTheme="majorHAnsi"/>
          <w:b/>
        </w:rPr>
        <w:t>nch that have not been disclosed</w:t>
      </w:r>
      <w:r w:rsidRPr="005E0C06">
        <w:rPr>
          <w:rFonts w:asciiTheme="majorHAnsi" w:hAnsiTheme="majorHAnsi"/>
        </w:rPr>
        <w:t>:</w:t>
      </w:r>
    </w:p>
    <w:p w:rsidR="00076CE1" w:rsidRPr="005E0C06" w:rsidRDefault="00015499" w:rsidP="005E0C06">
      <w:pPr>
        <w:pStyle w:val="ListParagraph"/>
        <w:numPr>
          <w:ilvl w:val="0"/>
          <w:numId w:val="17"/>
        </w:numPr>
        <w:rPr>
          <w:rFonts w:asciiTheme="majorHAnsi" w:hAnsiTheme="majorHAnsi"/>
        </w:rPr>
      </w:pPr>
      <w:r w:rsidRPr="005E0C06">
        <w:rPr>
          <w:rFonts w:asciiTheme="majorHAnsi" w:hAnsiTheme="majorHAnsi"/>
        </w:rPr>
        <w:t>Construction</w:t>
      </w:r>
      <w:r w:rsidR="00BF7673" w:rsidRPr="005E0C06">
        <w:rPr>
          <w:rFonts w:asciiTheme="majorHAnsi" w:hAnsiTheme="majorHAnsi"/>
        </w:rPr>
        <w:t xml:space="preserve"> activities </w:t>
      </w:r>
      <w:r w:rsidR="00076CE1" w:rsidRPr="005E0C06">
        <w:rPr>
          <w:rFonts w:asciiTheme="majorHAnsi" w:hAnsiTheme="majorHAnsi"/>
        </w:rPr>
        <w:t>and associated vibrations at such a close proximity to fragile historic structures</w:t>
      </w:r>
      <w:r w:rsidR="00BF7673" w:rsidRPr="005E0C06">
        <w:rPr>
          <w:rFonts w:asciiTheme="majorHAnsi" w:hAnsiTheme="majorHAnsi"/>
        </w:rPr>
        <w:t xml:space="preserve"> could result in</w:t>
      </w:r>
      <w:r w:rsidR="00076CE1" w:rsidRPr="005E0C06">
        <w:rPr>
          <w:rFonts w:asciiTheme="majorHAnsi" w:hAnsiTheme="majorHAnsi"/>
        </w:rPr>
        <w:t xml:space="preserve"> found</w:t>
      </w:r>
      <w:r w:rsidR="00087FDB" w:rsidRPr="005E0C06">
        <w:rPr>
          <w:rFonts w:asciiTheme="majorHAnsi" w:hAnsiTheme="majorHAnsi"/>
        </w:rPr>
        <w:t>ation or other structural failure</w:t>
      </w:r>
      <w:r w:rsidR="00076CE1" w:rsidRPr="005E0C06">
        <w:rPr>
          <w:rFonts w:asciiTheme="majorHAnsi" w:hAnsiTheme="majorHAnsi"/>
        </w:rPr>
        <w:t xml:space="preserve">.  </w:t>
      </w:r>
    </w:p>
    <w:p w:rsidR="00076CE1" w:rsidRPr="005E0C06" w:rsidRDefault="00076CE1" w:rsidP="00076CE1">
      <w:pPr>
        <w:pStyle w:val="ListParagraph"/>
        <w:ind w:left="418"/>
        <w:rPr>
          <w:rFonts w:asciiTheme="majorHAnsi" w:hAnsiTheme="majorHAnsi"/>
        </w:rPr>
      </w:pPr>
    </w:p>
    <w:p w:rsidR="00076CE1" w:rsidRPr="005E0C06" w:rsidRDefault="00BF7673" w:rsidP="005E0C06">
      <w:pPr>
        <w:pStyle w:val="ListParagraph"/>
        <w:numPr>
          <w:ilvl w:val="0"/>
          <w:numId w:val="17"/>
        </w:numPr>
        <w:rPr>
          <w:rFonts w:asciiTheme="majorHAnsi" w:hAnsiTheme="majorHAnsi"/>
        </w:rPr>
      </w:pPr>
      <w:r w:rsidRPr="005E0C06">
        <w:rPr>
          <w:rFonts w:asciiTheme="majorHAnsi" w:hAnsiTheme="majorHAnsi"/>
        </w:rPr>
        <w:t>T</w:t>
      </w:r>
      <w:r w:rsidR="00076CE1" w:rsidRPr="005E0C06">
        <w:rPr>
          <w:rFonts w:asciiTheme="majorHAnsi" w:hAnsiTheme="majorHAnsi"/>
        </w:rPr>
        <w:t xml:space="preserve">he 85-foot disturbance radius </w:t>
      </w:r>
      <w:r w:rsidRPr="005E0C06">
        <w:rPr>
          <w:rFonts w:asciiTheme="majorHAnsi" w:hAnsiTheme="majorHAnsi"/>
        </w:rPr>
        <w:t xml:space="preserve">for two of the eight power poles </w:t>
      </w:r>
      <w:r w:rsidR="00076CE1" w:rsidRPr="005E0C06">
        <w:rPr>
          <w:rFonts w:asciiTheme="majorHAnsi" w:hAnsiTheme="majorHAnsi"/>
        </w:rPr>
        <w:t xml:space="preserve">will </w:t>
      </w:r>
      <w:r w:rsidRPr="005E0C06">
        <w:rPr>
          <w:rFonts w:asciiTheme="majorHAnsi" w:hAnsiTheme="majorHAnsi"/>
        </w:rPr>
        <w:t>remove</w:t>
      </w:r>
      <w:r w:rsidR="00076CE1" w:rsidRPr="005E0C06">
        <w:rPr>
          <w:rFonts w:asciiTheme="majorHAnsi" w:hAnsiTheme="majorHAnsi"/>
        </w:rPr>
        <w:t xml:space="preserve"> my septic tank, leach field, and propane tank. </w:t>
      </w:r>
    </w:p>
    <w:p w:rsidR="00076CE1" w:rsidRPr="005E0C06" w:rsidRDefault="00076CE1" w:rsidP="00076CE1">
      <w:pPr>
        <w:pStyle w:val="ListParagraph"/>
        <w:ind w:left="418"/>
        <w:rPr>
          <w:rFonts w:asciiTheme="majorHAnsi" w:hAnsiTheme="majorHAnsi"/>
        </w:rPr>
      </w:pPr>
    </w:p>
    <w:p w:rsidR="00076CE1" w:rsidRPr="005E0C06" w:rsidRDefault="00076CE1" w:rsidP="005E0C06">
      <w:pPr>
        <w:pStyle w:val="ListParagraph"/>
        <w:numPr>
          <w:ilvl w:val="0"/>
          <w:numId w:val="17"/>
        </w:numPr>
        <w:rPr>
          <w:rFonts w:asciiTheme="majorHAnsi" w:hAnsiTheme="majorHAnsi"/>
        </w:rPr>
      </w:pPr>
      <w:r w:rsidRPr="005E0C06">
        <w:rPr>
          <w:rFonts w:asciiTheme="majorHAnsi" w:hAnsiTheme="majorHAnsi"/>
        </w:rPr>
        <w:t>There are no provisi</w:t>
      </w:r>
      <w:r w:rsidR="00087FDB" w:rsidRPr="005E0C06">
        <w:rPr>
          <w:rFonts w:asciiTheme="majorHAnsi" w:hAnsiTheme="majorHAnsi"/>
        </w:rPr>
        <w:t xml:space="preserve">ons to prevent staging areas, </w:t>
      </w:r>
      <w:r w:rsidRPr="005E0C06">
        <w:rPr>
          <w:rFonts w:asciiTheme="majorHAnsi" w:hAnsiTheme="majorHAnsi"/>
        </w:rPr>
        <w:t>transmission wire setup sites</w:t>
      </w:r>
      <w:r w:rsidR="00087FDB" w:rsidRPr="005E0C06">
        <w:rPr>
          <w:rFonts w:asciiTheme="majorHAnsi" w:hAnsiTheme="majorHAnsi"/>
        </w:rPr>
        <w:t>,</w:t>
      </w:r>
      <w:r w:rsidRPr="005E0C06">
        <w:rPr>
          <w:rFonts w:asciiTheme="majorHAnsi" w:hAnsiTheme="majorHAnsi"/>
        </w:rPr>
        <w:t xml:space="preserve"> or widening of th</w:t>
      </w:r>
      <w:r w:rsidR="00BF7673" w:rsidRPr="005E0C06">
        <w:rPr>
          <w:rFonts w:asciiTheme="majorHAnsi" w:hAnsiTheme="majorHAnsi"/>
        </w:rPr>
        <w:t>e road from</w:t>
      </w:r>
      <w:r w:rsidR="00087FDB" w:rsidRPr="005E0C06">
        <w:rPr>
          <w:rFonts w:asciiTheme="majorHAnsi" w:hAnsiTheme="majorHAnsi"/>
        </w:rPr>
        <w:t xml:space="preserve"> </w:t>
      </w:r>
      <w:r w:rsidR="00015499" w:rsidRPr="005E0C06">
        <w:rPr>
          <w:rFonts w:asciiTheme="majorHAnsi" w:hAnsiTheme="majorHAnsi"/>
        </w:rPr>
        <w:t>occurring</w:t>
      </w:r>
      <w:r w:rsidR="00087FDB" w:rsidRPr="005E0C06">
        <w:rPr>
          <w:rFonts w:asciiTheme="majorHAnsi" w:hAnsiTheme="majorHAnsi"/>
        </w:rPr>
        <w:t xml:space="preserve"> on the Peavine R</w:t>
      </w:r>
      <w:r w:rsidRPr="005E0C06">
        <w:rPr>
          <w:rFonts w:asciiTheme="majorHAnsi" w:hAnsiTheme="majorHAnsi"/>
        </w:rPr>
        <w:t>anch.  Wire setup sites are approximately 600 feet radius in size</w:t>
      </w:r>
      <w:r w:rsidR="00BF7673" w:rsidRPr="005E0C06">
        <w:rPr>
          <w:rFonts w:asciiTheme="majorHAnsi" w:hAnsiTheme="majorHAnsi"/>
        </w:rPr>
        <w:t xml:space="preserve"> (DEIS, Table 2.3-1, page 2-9)</w:t>
      </w:r>
      <w:r w:rsidR="00087FDB" w:rsidRPr="005E0C06">
        <w:rPr>
          <w:rFonts w:asciiTheme="majorHAnsi" w:hAnsiTheme="majorHAnsi"/>
        </w:rPr>
        <w:t>.</w:t>
      </w:r>
    </w:p>
    <w:p w:rsidR="00501323" w:rsidRDefault="00501323" w:rsidP="00015499">
      <w:pPr>
        <w:pStyle w:val="ListParagraph"/>
        <w:ind w:left="420"/>
        <w:rPr>
          <w:b/>
        </w:rPr>
      </w:pPr>
    </w:p>
    <w:p w:rsidR="00915E55" w:rsidRPr="002B2167" w:rsidRDefault="00915E55" w:rsidP="00015499">
      <w:pPr>
        <w:pStyle w:val="ListParagraph"/>
        <w:ind w:left="420"/>
        <w:rPr>
          <w:b/>
        </w:rPr>
      </w:pPr>
    </w:p>
    <w:p w:rsidR="003A4D5C" w:rsidRPr="002B2167" w:rsidRDefault="00F8451D" w:rsidP="003A4D5C">
      <w:pPr>
        <w:pStyle w:val="ListParagraph"/>
        <w:numPr>
          <w:ilvl w:val="0"/>
          <w:numId w:val="4"/>
        </w:numPr>
        <w:rPr>
          <w:b/>
        </w:rPr>
      </w:pPr>
      <w:r w:rsidRPr="002B2167">
        <w:rPr>
          <w:rFonts w:asciiTheme="majorHAnsi" w:hAnsiTheme="majorHAnsi"/>
          <w:b/>
        </w:rPr>
        <w:lastRenderedPageBreak/>
        <w:t>Irreversible</w:t>
      </w:r>
      <w:r w:rsidR="003A4D5C" w:rsidRPr="002B2167">
        <w:rPr>
          <w:rFonts w:asciiTheme="majorHAnsi" w:hAnsiTheme="majorHAnsi"/>
          <w:b/>
        </w:rPr>
        <w:t xml:space="preserve">  and irret</w:t>
      </w:r>
      <w:r w:rsidR="00015499" w:rsidRPr="002B2167">
        <w:rPr>
          <w:rFonts w:asciiTheme="majorHAnsi" w:hAnsiTheme="majorHAnsi"/>
          <w:b/>
        </w:rPr>
        <w:t>rievable loss of cultural resources</w:t>
      </w:r>
      <w:r w:rsidR="003A4D5C" w:rsidRPr="002B2167">
        <w:rPr>
          <w:rFonts w:asciiTheme="majorHAnsi" w:hAnsiTheme="majorHAnsi"/>
          <w:b/>
        </w:rPr>
        <w:t xml:space="preserve">:  </w:t>
      </w:r>
    </w:p>
    <w:p w:rsidR="00F8451D" w:rsidRPr="002B2167" w:rsidRDefault="00F8451D" w:rsidP="00F8451D">
      <w:pPr>
        <w:pStyle w:val="ListParagraph"/>
        <w:ind w:left="420"/>
        <w:rPr>
          <w:rFonts w:asciiTheme="majorHAnsi" w:hAnsiTheme="majorHAnsi" w:cs="Times New Roman"/>
        </w:rPr>
      </w:pPr>
      <w:r w:rsidRPr="002B2167">
        <w:rPr>
          <w:rFonts w:asciiTheme="majorHAnsi" w:hAnsiTheme="majorHAnsi" w:cs="Times New Roman"/>
        </w:rPr>
        <w:t>Page 3-141, Table 3.14-1 states “</w:t>
      </w:r>
      <w:r w:rsidRPr="002B2167">
        <w:rPr>
          <w:rFonts w:asciiTheme="majorHAnsi" w:hAnsiTheme="majorHAnsi" w:cs="Times New Roman"/>
          <w:i/>
        </w:rPr>
        <w:t>The action alternatives would not have any irreversible or irretrievable commitments of cultural resources</w:t>
      </w:r>
      <w:r w:rsidRPr="002B2167">
        <w:rPr>
          <w:rFonts w:asciiTheme="majorHAnsi" w:hAnsiTheme="majorHAnsi" w:cs="Times New Roman"/>
        </w:rPr>
        <w:t>”.  This is a false statement as it relates to my historic property and the implementation of the Poeville Alternative</w:t>
      </w:r>
      <w:r w:rsidR="00BF1B12" w:rsidRPr="002B2167">
        <w:rPr>
          <w:rFonts w:asciiTheme="majorHAnsi" w:hAnsiTheme="majorHAnsi" w:cs="Times New Roman"/>
        </w:rPr>
        <w:t xml:space="preserve">, </w:t>
      </w:r>
      <w:r w:rsidRPr="002B2167">
        <w:rPr>
          <w:rFonts w:asciiTheme="majorHAnsi" w:hAnsiTheme="majorHAnsi" w:cs="Times New Roman"/>
        </w:rPr>
        <w:t xml:space="preserve">identified by the line officer as the Preferred Alternative.  </w:t>
      </w:r>
    </w:p>
    <w:p w:rsidR="00BF1B12" w:rsidRPr="002B2167" w:rsidRDefault="00BF1B12" w:rsidP="00BC070A">
      <w:pPr>
        <w:pStyle w:val="ListParagraph"/>
        <w:ind w:left="418"/>
        <w:rPr>
          <w:rFonts w:asciiTheme="majorHAnsi" w:hAnsiTheme="majorHAnsi"/>
        </w:rPr>
      </w:pPr>
    </w:p>
    <w:p w:rsidR="00BC070A" w:rsidRPr="002B2167" w:rsidRDefault="00BC070A" w:rsidP="00BC070A">
      <w:pPr>
        <w:pStyle w:val="ListParagraph"/>
        <w:ind w:left="418"/>
        <w:rPr>
          <w:rFonts w:asciiTheme="majorHAnsi" w:hAnsiTheme="majorHAnsi"/>
        </w:rPr>
      </w:pPr>
      <w:r w:rsidRPr="002B2167">
        <w:rPr>
          <w:rFonts w:asciiTheme="majorHAnsi" w:hAnsiTheme="majorHAnsi"/>
        </w:rPr>
        <w:t xml:space="preserve">The </w:t>
      </w:r>
      <w:r w:rsidR="00672355" w:rsidRPr="002B2167">
        <w:rPr>
          <w:rFonts w:asciiTheme="majorHAnsi" w:hAnsiTheme="majorHAnsi"/>
        </w:rPr>
        <w:t>Poleville A</w:t>
      </w:r>
      <w:r w:rsidR="00F8451D" w:rsidRPr="002B2167">
        <w:rPr>
          <w:rFonts w:asciiTheme="majorHAnsi" w:hAnsiTheme="majorHAnsi"/>
        </w:rPr>
        <w:t xml:space="preserve">lternative </w:t>
      </w:r>
      <w:r w:rsidRPr="002B2167">
        <w:rPr>
          <w:rFonts w:asciiTheme="majorHAnsi" w:hAnsiTheme="majorHAnsi"/>
        </w:rPr>
        <w:t>does not</w:t>
      </w:r>
      <w:r w:rsidR="00F8451D" w:rsidRPr="002B2167">
        <w:rPr>
          <w:rFonts w:asciiTheme="majorHAnsi" w:hAnsiTheme="majorHAnsi"/>
        </w:rPr>
        <w:t xml:space="preserve"> </w:t>
      </w:r>
      <w:r w:rsidRPr="002B2167">
        <w:rPr>
          <w:rFonts w:asciiTheme="majorHAnsi" w:hAnsiTheme="majorHAnsi"/>
        </w:rPr>
        <w:t>consider</w:t>
      </w:r>
      <w:r w:rsidR="00F8451D" w:rsidRPr="002B2167">
        <w:rPr>
          <w:rFonts w:asciiTheme="majorHAnsi" w:hAnsiTheme="majorHAnsi"/>
        </w:rPr>
        <w:t xml:space="preserve"> avoidance of the Peavine Ranch, excavation and other ground disturbing </w:t>
      </w:r>
      <w:r w:rsidR="00672355" w:rsidRPr="002B2167">
        <w:rPr>
          <w:rFonts w:asciiTheme="majorHAnsi" w:hAnsiTheme="majorHAnsi"/>
        </w:rPr>
        <w:t>activities</w:t>
      </w:r>
      <w:r w:rsidR="00F8451D" w:rsidRPr="002B2167">
        <w:rPr>
          <w:rFonts w:asciiTheme="majorHAnsi" w:hAnsiTheme="majorHAnsi"/>
        </w:rPr>
        <w:t xml:space="preserve"> will result in the destruction and degradation of </w:t>
      </w:r>
      <w:r w:rsidRPr="002B2167">
        <w:rPr>
          <w:rFonts w:asciiTheme="majorHAnsi" w:hAnsiTheme="majorHAnsi"/>
        </w:rPr>
        <w:t xml:space="preserve">NRHP listed historical </w:t>
      </w:r>
      <w:r w:rsidR="00F8451D" w:rsidRPr="002B2167">
        <w:rPr>
          <w:rFonts w:asciiTheme="majorHAnsi" w:hAnsiTheme="majorHAnsi"/>
        </w:rPr>
        <w:t>resources.</w:t>
      </w:r>
      <w:r w:rsidR="00672355" w:rsidRPr="002B2167">
        <w:rPr>
          <w:rFonts w:asciiTheme="majorHAnsi" w:hAnsiTheme="majorHAnsi"/>
        </w:rPr>
        <w:t xml:space="preserve">  There are no provisions in place to protect the histor</w:t>
      </w:r>
      <w:r w:rsidRPr="002B2167">
        <w:rPr>
          <w:rFonts w:asciiTheme="majorHAnsi" w:hAnsiTheme="majorHAnsi"/>
        </w:rPr>
        <w:t>ic buildings from becoming permanently</w:t>
      </w:r>
      <w:r w:rsidR="00672355" w:rsidRPr="002B2167">
        <w:rPr>
          <w:rFonts w:asciiTheme="majorHAnsi" w:hAnsiTheme="majorHAnsi"/>
        </w:rPr>
        <w:t xml:space="preserve"> damaged or destroyed from </w:t>
      </w:r>
      <w:r w:rsidRPr="002B2167">
        <w:rPr>
          <w:rFonts w:asciiTheme="majorHAnsi" w:hAnsiTheme="majorHAnsi"/>
        </w:rPr>
        <w:t xml:space="preserve">direct or indirect </w:t>
      </w:r>
      <w:r w:rsidR="00672355" w:rsidRPr="002B2167">
        <w:rPr>
          <w:rFonts w:asciiTheme="majorHAnsi" w:hAnsiTheme="majorHAnsi"/>
        </w:rPr>
        <w:t xml:space="preserve">construction </w:t>
      </w:r>
      <w:r w:rsidRPr="002B2167">
        <w:rPr>
          <w:rFonts w:asciiTheme="majorHAnsi" w:hAnsiTheme="majorHAnsi"/>
        </w:rPr>
        <w:t xml:space="preserve">activities i.e. associated vibrations that may result in foundation or other structural failures.  </w:t>
      </w:r>
    </w:p>
    <w:p w:rsidR="00BF1B12" w:rsidRPr="002B2167" w:rsidRDefault="00672355" w:rsidP="003A4D5C">
      <w:pPr>
        <w:pStyle w:val="ListParagraph"/>
        <w:ind w:left="420"/>
        <w:rPr>
          <w:rFonts w:asciiTheme="majorHAnsi" w:hAnsiTheme="majorHAnsi"/>
        </w:rPr>
      </w:pPr>
      <w:r w:rsidRPr="002B2167">
        <w:rPr>
          <w:rFonts w:asciiTheme="majorHAnsi" w:hAnsiTheme="majorHAnsi"/>
        </w:rPr>
        <w:t xml:space="preserve"> </w:t>
      </w:r>
    </w:p>
    <w:p w:rsidR="00F8451D" w:rsidRPr="002B2167" w:rsidRDefault="00672355" w:rsidP="003A4D5C">
      <w:pPr>
        <w:pStyle w:val="ListParagraph"/>
        <w:ind w:left="420"/>
        <w:rPr>
          <w:rFonts w:asciiTheme="majorHAnsi" w:hAnsiTheme="majorHAnsi"/>
        </w:rPr>
      </w:pPr>
      <w:r w:rsidRPr="002B2167">
        <w:rPr>
          <w:rFonts w:asciiTheme="majorHAnsi" w:hAnsiTheme="majorHAnsi"/>
        </w:rPr>
        <w:t xml:space="preserve">The old growth trees that provide shade and screening were noted as a component of the character of the property’s physical features within the </w:t>
      </w:r>
      <w:r w:rsidR="00015499" w:rsidRPr="002B2167">
        <w:rPr>
          <w:rFonts w:asciiTheme="majorHAnsi" w:hAnsiTheme="majorHAnsi"/>
        </w:rPr>
        <w:t>property’s</w:t>
      </w:r>
      <w:r w:rsidRPr="002B2167">
        <w:rPr>
          <w:rFonts w:asciiTheme="majorHAnsi" w:hAnsiTheme="majorHAnsi"/>
        </w:rPr>
        <w:t xml:space="preserve"> setting that contributed to its historic significance and listing in the NRHP.  The long-term loss of these trees would constitute an irretrievable commitment that is not disclosed within the DEIS. </w:t>
      </w:r>
    </w:p>
    <w:p w:rsidR="00A73597" w:rsidRPr="002B2167" w:rsidRDefault="00015499" w:rsidP="003A4D5C">
      <w:pPr>
        <w:pStyle w:val="ListParagraph"/>
        <w:ind w:left="420"/>
        <w:rPr>
          <w:rFonts w:asciiTheme="majorHAnsi" w:hAnsiTheme="majorHAnsi" w:cs="Times New Roman"/>
          <w:b/>
        </w:rPr>
      </w:pPr>
      <w:r w:rsidRPr="002B2167">
        <w:rPr>
          <w:rFonts w:asciiTheme="majorHAnsi" w:hAnsiTheme="majorHAnsi" w:cs="Times New Roman"/>
        </w:rPr>
        <w:t xml:space="preserve"> </w:t>
      </w:r>
      <w:r w:rsidR="00501323" w:rsidRPr="002B2167">
        <w:t xml:space="preserve"> </w:t>
      </w:r>
    </w:p>
    <w:p w:rsidR="007F6A07" w:rsidRPr="002B2167" w:rsidRDefault="003859F2" w:rsidP="003859F2">
      <w:pPr>
        <w:pStyle w:val="ListParagraph"/>
        <w:numPr>
          <w:ilvl w:val="0"/>
          <w:numId w:val="4"/>
        </w:numPr>
        <w:ind w:left="418"/>
        <w:rPr>
          <w:rFonts w:asciiTheme="majorHAnsi" w:hAnsiTheme="majorHAnsi"/>
          <w:b/>
        </w:rPr>
      </w:pPr>
      <w:r w:rsidRPr="002B2167">
        <w:rPr>
          <w:rFonts w:asciiTheme="majorHAnsi" w:hAnsiTheme="majorHAnsi"/>
          <w:b/>
        </w:rPr>
        <w:t>The l</w:t>
      </w:r>
      <w:r w:rsidR="00A73597" w:rsidRPr="002B2167">
        <w:rPr>
          <w:rFonts w:asciiTheme="majorHAnsi" w:hAnsiTheme="majorHAnsi"/>
          <w:b/>
        </w:rPr>
        <w:t>oss of propert</w:t>
      </w:r>
      <w:r w:rsidRPr="002B2167">
        <w:rPr>
          <w:rFonts w:asciiTheme="majorHAnsi" w:hAnsiTheme="majorHAnsi"/>
          <w:b/>
        </w:rPr>
        <w:t xml:space="preserve">y value and the resulting loss of state, county, and city tax revenues was not addressed within the DEIS: </w:t>
      </w:r>
    </w:p>
    <w:p w:rsidR="003859F2" w:rsidRPr="002B2167" w:rsidRDefault="003859F2" w:rsidP="003859F2">
      <w:pPr>
        <w:pStyle w:val="ListParagraph"/>
        <w:ind w:left="418"/>
        <w:rPr>
          <w:rFonts w:asciiTheme="majorHAnsi" w:hAnsiTheme="majorHAnsi"/>
        </w:rPr>
      </w:pPr>
    </w:p>
    <w:p w:rsidR="003859F2" w:rsidRPr="002B2167" w:rsidRDefault="00CC7999" w:rsidP="003859F2">
      <w:pPr>
        <w:pStyle w:val="ListParagraph"/>
        <w:ind w:left="418"/>
        <w:rPr>
          <w:rFonts w:asciiTheme="majorHAnsi" w:eastAsia="Times New Roman" w:hAnsiTheme="majorHAnsi" w:cs="Times New Roman"/>
        </w:rPr>
      </w:pPr>
      <w:r w:rsidRPr="002B2167">
        <w:rPr>
          <w:rFonts w:asciiTheme="majorHAnsi" w:hAnsiTheme="majorHAnsi"/>
        </w:rPr>
        <w:t>Land Use and Private Property Value was identified as one of the three key issues addressed within the DEIS.  According to page 3-28, “</w:t>
      </w:r>
      <w:r w:rsidRPr="002B2167">
        <w:rPr>
          <w:rFonts w:asciiTheme="majorHAnsi" w:hAnsiTheme="majorHAnsi"/>
          <w:i/>
        </w:rPr>
        <w:t xml:space="preserve">The existence of a 120kV transmission line adjacent to vacant and undeveloped property may have negative impacts on property values between 10% and 15%”.  </w:t>
      </w:r>
      <w:r w:rsidR="003859F2" w:rsidRPr="002B2167">
        <w:rPr>
          <w:rFonts w:asciiTheme="majorHAnsi" w:eastAsia="Times New Roman" w:hAnsiTheme="majorHAnsi" w:cs="Times New Roman"/>
        </w:rPr>
        <w:t xml:space="preserve">If the land values </w:t>
      </w:r>
      <w:r w:rsidRPr="002B2167">
        <w:rPr>
          <w:rFonts w:asciiTheme="majorHAnsi" w:eastAsia="Times New Roman" w:hAnsiTheme="majorHAnsi" w:cs="Times New Roman"/>
        </w:rPr>
        <w:t>de</w:t>
      </w:r>
      <w:r w:rsidR="003859F2" w:rsidRPr="002B2167">
        <w:rPr>
          <w:rFonts w:asciiTheme="majorHAnsi" w:eastAsia="Times New Roman" w:hAnsiTheme="majorHAnsi" w:cs="Times New Roman"/>
        </w:rPr>
        <w:t xml:space="preserve">crease, so does the total assessed </w:t>
      </w:r>
      <w:r w:rsidRPr="002B2167">
        <w:rPr>
          <w:rFonts w:asciiTheme="majorHAnsi" w:eastAsia="Times New Roman" w:hAnsiTheme="majorHAnsi" w:cs="Times New Roman"/>
        </w:rPr>
        <w:t xml:space="preserve">tax value; resulting in a reduction of tax revenues.  The DEIS does not assess the economic impacts </w:t>
      </w:r>
      <w:r w:rsidR="00474C92" w:rsidRPr="002B2167">
        <w:rPr>
          <w:rFonts w:asciiTheme="majorHAnsi" w:eastAsia="Times New Roman" w:hAnsiTheme="majorHAnsi" w:cs="Times New Roman"/>
        </w:rPr>
        <w:t>this may present</w:t>
      </w:r>
      <w:r w:rsidRPr="002B2167">
        <w:rPr>
          <w:rFonts w:asciiTheme="majorHAnsi" w:eastAsia="Times New Roman" w:hAnsiTheme="majorHAnsi" w:cs="Times New Roman"/>
        </w:rPr>
        <w:t xml:space="preserve"> to the state and local governments nor the communities that they serve. </w:t>
      </w:r>
      <w:r w:rsidR="00474C92" w:rsidRPr="002B2167">
        <w:rPr>
          <w:rFonts w:asciiTheme="majorHAnsi" w:eastAsia="Times New Roman" w:hAnsiTheme="majorHAnsi" w:cs="Times New Roman"/>
        </w:rPr>
        <w:t xml:space="preserve"> The Poeville Alternative would impact 130 parcels of private land, over twice the amount of the Peavine/Poeville Alternative and 10 times that of the Mitchel and Peavine Alternatives.  I believe this is a significant difference that must be considered within the FEIS.</w:t>
      </w:r>
    </w:p>
    <w:p w:rsidR="00164F6F" w:rsidRPr="002B2167" w:rsidRDefault="00164F6F" w:rsidP="00542C80">
      <w:pPr>
        <w:ind w:left="418"/>
        <w:rPr>
          <w:rFonts w:asciiTheme="majorHAnsi" w:hAnsiTheme="majorHAnsi" w:cs="Times New Roman"/>
        </w:rPr>
      </w:pPr>
    </w:p>
    <w:p w:rsidR="00220462" w:rsidRPr="002B2167" w:rsidRDefault="00247468" w:rsidP="00542C80">
      <w:pPr>
        <w:ind w:left="418"/>
        <w:rPr>
          <w:rFonts w:asciiTheme="majorHAnsi" w:hAnsiTheme="majorHAnsi" w:cs="Times New Roman"/>
        </w:rPr>
      </w:pPr>
      <w:r w:rsidRPr="002B2167">
        <w:rPr>
          <w:rFonts w:asciiTheme="majorHAnsi" w:hAnsiTheme="majorHAnsi" w:cs="Times New Roman"/>
        </w:rPr>
        <w:t xml:space="preserve">The DEIS makes reference to the </w:t>
      </w:r>
      <w:r w:rsidRPr="002B2167">
        <w:rPr>
          <w:rFonts w:asciiTheme="majorHAnsi" w:eastAsia="Times New Roman" w:hAnsiTheme="majorHAnsi" w:cs="Times New Roman"/>
        </w:rPr>
        <w:t xml:space="preserve">Warren and Schiffmacher LLC. Power Line Study </w:t>
      </w:r>
      <w:r w:rsidR="00542C80" w:rsidRPr="002B2167">
        <w:rPr>
          <w:rFonts w:asciiTheme="majorHAnsi" w:eastAsia="Times New Roman" w:hAnsiTheme="majorHAnsi" w:cs="Times New Roman"/>
        </w:rPr>
        <w:t>stating,</w:t>
      </w:r>
      <w:r w:rsidRPr="002B2167">
        <w:rPr>
          <w:rFonts w:asciiTheme="majorHAnsi" w:eastAsia="Times New Roman" w:hAnsiTheme="majorHAnsi" w:cs="Times New Roman"/>
        </w:rPr>
        <w:t xml:space="preserve"> </w:t>
      </w:r>
      <w:r w:rsidRPr="002B2167">
        <w:rPr>
          <w:rFonts w:asciiTheme="majorHAnsi" w:hAnsiTheme="majorHAnsi" w:cs="Times New Roman"/>
        </w:rPr>
        <w:t>“</w:t>
      </w:r>
      <w:r w:rsidR="00542C80" w:rsidRPr="002B2167">
        <w:rPr>
          <w:rFonts w:asciiTheme="majorHAnsi" w:hAnsiTheme="majorHAnsi" w:cs="Times New Roman"/>
          <w:i/>
        </w:rPr>
        <w:t>Impacts</w:t>
      </w:r>
      <w:r w:rsidRPr="002B2167">
        <w:rPr>
          <w:rFonts w:asciiTheme="majorHAnsi" w:hAnsiTheme="majorHAnsi" w:cs="Times New Roman"/>
          <w:i/>
        </w:rPr>
        <w:t xml:space="preserve"> on the property values of private </w:t>
      </w:r>
      <w:r w:rsidR="00164F6F" w:rsidRPr="002B2167">
        <w:rPr>
          <w:rFonts w:asciiTheme="majorHAnsi" w:hAnsiTheme="majorHAnsi" w:cs="Times New Roman"/>
          <w:i/>
        </w:rPr>
        <w:t>properties developed with an exis</w:t>
      </w:r>
      <w:r w:rsidRPr="002B2167">
        <w:rPr>
          <w:rFonts w:asciiTheme="majorHAnsi" w:hAnsiTheme="majorHAnsi" w:cs="Times New Roman"/>
          <w:i/>
        </w:rPr>
        <w:t>ting house would be negligible.</w:t>
      </w:r>
      <w:r w:rsidR="00542C80" w:rsidRPr="002B2167">
        <w:rPr>
          <w:rFonts w:asciiTheme="majorHAnsi" w:hAnsiTheme="majorHAnsi" w:cs="Times New Roman"/>
          <w:i/>
        </w:rPr>
        <w:t>” (page 3-29).</w:t>
      </w:r>
      <w:r w:rsidR="00164F6F" w:rsidRPr="002B2167">
        <w:rPr>
          <w:rFonts w:asciiTheme="majorHAnsi" w:hAnsiTheme="majorHAnsi" w:cs="Times New Roman"/>
        </w:rPr>
        <w:t xml:space="preserve">  </w:t>
      </w:r>
      <w:r w:rsidRPr="002B2167">
        <w:rPr>
          <w:rFonts w:asciiTheme="majorHAnsi" w:hAnsiTheme="majorHAnsi" w:cs="Times New Roman"/>
        </w:rPr>
        <w:t xml:space="preserve">This is a bold statement to make in the document without providing access to the Warren and Schiffmacher report for review.  </w:t>
      </w:r>
    </w:p>
    <w:p w:rsidR="00220462" w:rsidRPr="002B2167" w:rsidRDefault="00220462" w:rsidP="00542C80">
      <w:pPr>
        <w:ind w:left="418"/>
        <w:rPr>
          <w:rFonts w:asciiTheme="majorHAnsi" w:hAnsiTheme="majorHAnsi" w:cs="Times New Roman"/>
        </w:rPr>
      </w:pPr>
    </w:p>
    <w:p w:rsidR="00542C80" w:rsidRPr="003C2156" w:rsidRDefault="00247468" w:rsidP="00542C80">
      <w:pPr>
        <w:ind w:left="418"/>
        <w:rPr>
          <w:rFonts w:asciiTheme="majorHAnsi" w:hAnsiTheme="majorHAnsi"/>
        </w:rPr>
      </w:pPr>
      <w:r w:rsidRPr="002B2167">
        <w:rPr>
          <w:rFonts w:asciiTheme="majorHAnsi" w:hAnsiTheme="majorHAnsi" w:cs="Times New Roman"/>
        </w:rPr>
        <w:t xml:space="preserve">This report is cited in the </w:t>
      </w:r>
      <w:r w:rsidR="00542C80" w:rsidRPr="002B2167">
        <w:rPr>
          <w:rFonts w:asciiTheme="majorHAnsi" w:hAnsiTheme="majorHAnsi" w:cs="Times New Roman"/>
        </w:rPr>
        <w:t>References</w:t>
      </w:r>
      <w:r w:rsidRPr="002B2167">
        <w:rPr>
          <w:rFonts w:asciiTheme="majorHAnsi" w:hAnsiTheme="majorHAnsi" w:cs="Times New Roman"/>
        </w:rPr>
        <w:t xml:space="preserve">, page 5-15 </w:t>
      </w:r>
      <w:r w:rsidR="00542C80" w:rsidRPr="002B2167">
        <w:rPr>
          <w:rFonts w:asciiTheme="majorHAnsi" w:hAnsiTheme="majorHAnsi" w:cs="Times New Roman"/>
        </w:rPr>
        <w:t>as</w:t>
      </w:r>
      <w:r w:rsidRPr="002B2167">
        <w:rPr>
          <w:rFonts w:asciiTheme="majorHAnsi" w:hAnsiTheme="majorHAnsi" w:cs="Times New Roman"/>
        </w:rPr>
        <w:t xml:space="preserve"> </w:t>
      </w:r>
      <w:r w:rsidR="00542C80" w:rsidRPr="002B2167">
        <w:rPr>
          <w:rFonts w:asciiTheme="majorHAnsi" w:eastAsia="Times New Roman" w:hAnsiTheme="majorHAnsi" w:cs="Times New Roman"/>
        </w:rPr>
        <w:t>“</w:t>
      </w:r>
      <w:r w:rsidR="00542C80" w:rsidRPr="002B2167">
        <w:rPr>
          <w:rFonts w:asciiTheme="majorHAnsi" w:eastAsia="Times New Roman" w:hAnsiTheme="majorHAnsi" w:cs="Times New Roman"/>
          <w:i/>
        </w:rPr>
        <w:t xml:space="preserve">The Warren and Schiffmacher LLC. 2007. The Power Line Study:  The Impact of a 120kV Power Line on Property Owner Behaviour and Property Values. </w:t>
      </w:r>
      <w:r w:rsidR="00542C80" w:rsidRPr="002B2167">
        <w:rPr>
          <w:rFonts w:asciiTheme="majorHAnsi" w:eastAsia="Times New Roman" w:hAnsiTheme="majorHAnsi" w:cs="Times New Roman"/>
          <w:b/>
          <w:i/>
        </w:rPr>
        <w:t>Unpublished document prepared for Sierra Pacific Power Company</w:t>
      </w:r>
      <w:r w:rsidR="00542C80" w:rsidRPr="002B2167">
        <w:rPr>
          <w:rFonts w:asciiTheme="majorHAnsi" w:eastAsia="Times New Roman" w:hAnsiTheme="majorHAnsi" w:cs="Times New Roman"/>
        </w:rPr>
        <w:t xml:space="preserve">.”  The FEIS should produce an unbiased, third party study that evaluates the loss of property </w:t>
      </w:r>
      <w:r w:rsidR="0013064C" w:rsidRPr="002B2167">
        <w:rPr>
          <w:rFonts w:asciiTheme="majorHAnsi" w:eastAsia="Times New Roman" w:hAnsiTheme="majorHAnsi" w:cs="Times New Roman"/>
        </w:rPr>
        <w:t>value and</w:t>
      </w:r>
      <w:r w:rsidR="00542C80" w:rsidRPr="002B2167">
        <w:rPr>
          <w:rFonts w:asciiTheme="majorHAnsi" w:eastAsia="Times New Roman" w:hAnsiTheme="majorHAnsi" w:cs="Times New Roman"/>
        </w:rPr>
        <w:t xml:space="preserve"> how it impacts private property owners, state and local government’s tax revenue, and how it will affect the fair market value of the affected 130 parcels of private land.</w:t>
      </w:r>
      <w:r w:rsidR="00542C80" w:rsidRPr="002B2167">
        <w:rPr>
          <w:rFonts w:asciiTheme="majorHAnsi" w:hAnsiTheme="majorHAnsi"/>
        </w:rPr>
        <w:t xml:space="preserve"> </w:t>
      </w:r>
      <w:r w:rsidR="0013064C" w:rsidRPr="002B2167">
        <w:rPr>
          <w:rFonts w:asciiTheme="majorHAnsi" w:hAnsiTheme="majorHAnsi"/>
        </w:rPr>
        <w:t xml:space="preserve"> </w:t>
      </w:r>
      <w:r w:rsidR="00542C80" w:rsidRPr="002B2167">
        <w:rPr>
          <w:rFonts w:asciiTheme="majorHAnsi" w:hAnsiTheme="majorHAnsi"/>
        </w:rPr>
        <w:t xml:space="preserve">Regardless of actual EMF measurements, to have </w:t>
      </w:r>
      <w:r w:rsidR="0013064C" w:rsidRPr="002B2167">
        <w:rPr>
          <w:rFonts w:asciiTheme="majorHAnsi" w:hAnsiTheme="majorHAnsi"/>
        </w:rPr>
        <w:t xml:space="preserve">utility ROWs, </w:t>
      </w:r>
      <w:r w:rsidR="00542C80" w:rsidRPr="002B2167">
        <w:rPr>
          <w:rFonts w:asciiTheme="majorHAnsi" w:hAnsiTheme="majorHAnsi"/>
        </w:rPr>
        <w:t xml:space="preserve">the Alturas 345kV,  the proposed 120kV and the </w:t>
      </w:r>
      <w:r w:rsidR="0013064C" w:rsidRPr="002B2167">
        <w:rPr>
          <w:rFonts w:asciiTheme="majorHAnsi" w:hAnsiTheme="majorHAnsi"/>
        </w:rPr>
        <w:t xml:space="preserve">exisiting 120kV </w:t>
      </w:r>
      <w:r w:rsidR="00542C80" w:rsidRPr="002B2167">
        <w:rPr>
          <w:rFonts w:asciiTheme="majorHAnsi" w:hAnsiTheme="majorHAnsi"/>
        </w:rPr>
        <w:lastRenderedPageBreak/>
        <w:t>distrib</w:t>
      </w:r>
      <w:r w:rsidR="0013064C" w:rsidRPr="002B2167">
        <w:rPr>
          <w:rFonts w:asciiTheme="majorHAnsi" w:hAnsiTheme="majorHAnsi"/>
        </w:rPr>
        <w:t>ution line</w:t>
      </w:r>
      <w:r w:rsidR="00542C80" w:rsidRPr="002B2167">
        <w:rPr>
          <w:rFonts w:asciiTheme="majorHAnsi" w:hAnsiTheme="majorHAnsi"/>
        </w:rPr>
        <w:t xml:space="preserve"> within </w:t>
      </w:r>
      <w:r w:rsidR="0013064C" w:rsidRPr="002B2167">
        <w:rPr>
          <w:rFonts w:asciiTheme="majorHAnsi" w:hAnsiTheme="majorHAnsi"/>
        </w:rPr>
        <w:t xml:space="preserve">14 feet of my residence </w:t>
      </w:r>
      <w:r w:rsidR="00542C80" w:rsidRPr="002B2167">
        <w:rPr>
          <w:rFonts w:asciiTheme="majorHAnsi" w:hAnsiTheme="majorHAnsi"/>
        </w:rPr>
        <w:t xml:space="preserve"> will significantly reduce the intr</w:t>
      </w:r>
      <w:r w:rsidR="0013064C" w:rsidRPr="002B2167">
        <w:rPr>
          <w:rFonts w:asciiTheme="majorHAnsi" w:hAnsiTheme="majorHAnsi"/>
        </w:rPr>
        <w:t>insic and property value of my</w:t>
      </w:r>
      <w:r w:rsidR="00542C80" w:rsidRPr="002B2167">
        <w:rPr>
          <w:rFonts w:asciiTheme="majorHAnsi" w:hAnsiTheme="majorHAnsi"/>
        </w:rPr>
        <w:t xml:space="preserve"> ranch.</w:t>
      </w:r>
      <w:r w:rsidR="00542C80">
        <w:rPr>
          <w:rFonts w:asciiTheme="majorHAnsi" w:hAnsiTheme="majorHAnsi"/>
        </w:rPr>
        <w:t xml:space="preserve">   </w:t>
      </w:r>
    </w:p>
    <w:p w:rsidR="00542C80" w:rsidRDefault="00542C80" w:rsidP="00542C80">
      <w:pPr>
        <w:ind w:left="418"/>
        <w:rPr>
          <w:rFonts w:asciiTheme="majorHAnsi" w:hAnsiTheme="majorHAnsi" w:cs="Times New Roman"/>
          <w:highlight w:val="yellow"/>
        </w:rPr>
      </w:pPr>
    </w:p>
    <w:p w:rsidR="003859F2" w:rsidRPr="002B2167" w:rsidRDefault="003859F2" w:rsidP="00542C80">
      <w:pPr>
        <w:pStyle w:val="ListParagraph"/>
        <w:ind w:left="418"/>
        <w:rPr>
          <w:rFonts w:asciiTheme="majorHAnsi" w:eastAsia="Times New Roman" w:hAnsiTheme="majorHAnsi" w:cs="Times New Roman"/>
        </w:rPr>
      </w:pPr>
    </w:p>
    <w:p w:rsidR="006C5C13" w:rsidRPr="002B2167" w:rsidRDefault="006C5C13" w:rsidP="003859F2">
      <w:pPr>
        <w:pStyle w:val="ListParagraph"/>
        <w:numPr>
          <w:ilvl w:val="0"/>
          <w:numId w:val="4"/>
        </w:numPr>
        <w:ind w:left="418"/>
        <w:rPr>
          <w:rFonts w:asciiTheme="majorHAnsi" w:hAnsiTheme="majorHAnsi"/>
          <w:b/>
        </w:rPr>
      </w:pPr>
      <w:r w:rsidRPr="002B2167">
        <w:rPr>
          <w:rFonts w:asciiTheme="majorHAnsi" w:hAnsiTheme="majorHAnsi"/>
          <w:b/>
        </w:rPr>
        <w:t>The Poeville Alternative is not con</w:t>
      </w:r>
      <w:r w:rsidR="007F6A07" w:rsidRPr="002B2167">
        <w:rPr>
          <w:rFonts w:asciiTheme="majorHAnsi" w:hAnsiTheme="majorHAnsi"/>
          <w:b/>
        </w:rPr>
        <w:t>sistent with The Washoe County M</w:t>
      </w:r>
      <w:r w:rsidRPr="002B2167">
        <w:rPr>
          <w:rFonts w:asciiTheme="majorHAnsi" w:hAnsiTheme="majorHAnsi"/>
          <w:b/>
        </w:rPr>
        <w:t>aster Plan and Development Code for North Valleys Rural Character Management Area (NVRCMA).</w:t>
      </w:r>
    </w:p>
    <w:p w:rsidR="006C5C13" w:rsidRPr="002B2167" w:rsidRDefault="006C5C13" w:rsidP="003859F2">
      <w:pPr>
        <w:pStyle w:val="ListParagraph"/>
        <w:ind w:left="418"/>
        <w:rPr>
          <w:rFonts w:asciiTheme="majorHAnsi" w:hAnsiTheme="majorHAnsi"/>
        </w:rPr>
      </w:pPr>
    </w:p>
    <w:p w:rsidR="00F51EFC" w:rsidRPr="002B2167" w:rsidRDefault="00F51EFC" w:rsidP="003859F2">
      <w:pPr>
        <w:pStyle w:val="ListParagraph"/>
        <w:ind w:left="418"/>
        <w:rPr>
          <w:rFonts w:asciiTheme="majorHAnsi" w:hAnsiTheme="majorHAnsi"/>
        </w:rPr>
      </w:pPr>
      <w:r w:rsidRPr="002B2167">
        <w:rPr>
          <w:rFonts w:asciiTheme="majorHAnsi" w:hAnsiTheme="majorHAnsi"/>
        </w:rPr>
        <w:t>The FEIS</w:t>
      </w:r>
      <w:r w:rsidR="00474C92" w:rsidRPr="002B2167">
        <w:rPr>
          <w:rFonts w:asciiTheme="majorHAnsi" w:hAnsiTheme="majorHAnsi"/>
        </w:rPr>
        <w:t xml:space="preserve"> needs to consider </w:t>
      </w:r>
      <w:r w:rsidRPr="002B2167">
        <w:rPr>
          <w:rFonts w:asciiTheme="majorHAnsi" w:hAnsiTheme="majorHAnsi"/>
        </w:rPr>
        <w:t xml:space="preserve">project design features that are consistent with the Washoe County Master Plan and Development Code for North Valleys Rural Character Management Area (NVRCMA).  The Peavine Ranch is one of the few privately owned, sizable rural properties remaining intact and undeveloped within this management area.  </w:t>
      </w:r>
      <w:r w:rsidR="002B2167" w:rsidRPr="002B2167">
        <w:rPr>
          <w:rFonts w:asciiTheme="majorHAnsi" w:hAnsiTheme="majorHAnsi"/>
        </w:rPr>
        <w:t xml:space="preserve">The document did not disclose how the Poeville Alternative affects the visual context as it relates to the NVRCMA.  The discussion of foreground of the landscape at KOP 9 and KOP 10 on pages 3-13 and 3-14 was inadequate to assess the impact on the historic and open space values of the Peavine ranch.  </w:t>
      </w:r>
      <w:r w:rsidRPr="002B2167">
        <w:rPr>
          <w:rFonts w:asciiTheme="majorHAnsi" w:hAnsiTheme="majorHAnsi"/>
        </w:rPr>
        <w:t xml:space="preserve">To be consistent, the undergrounding option should be pursued to avoid </w:t>
      </w:r>
      <w:r w:rsidR="00E101E0" w:rsidRPr="002B2167">
        <w:rPr>
          <w:rFonts w:asciiTheme="majorHAnsi" w:hAnsiTheme="majorHAnsi"/>
        </w:rPr>
        <w:t xml:space="preserve">impacts on the private property.  </w:t>
      </w:r>
      <w:r w:rsidRPr="002B2167">
        <w:rPr>
          <w:rFonts w:asciiTheme="majorHAnsi" w:hAnsiTheme="majorHAnsi"/>
        </w:rPr>
        <w:t xml:space="preserve">Please refer to the </w:t>
      </w:r>
      <w:r w:rsidR="0003159C">
        <w:rPr>
          <w:rFonts w:asciiTheme="majorHAnsi" w:hAnsiTheme="majorHAnsi"/>
        </w:rPr>
        <w:t>following references within the</w:t>
      </w:r>
      <w:r w:rsidRPr="002B2167">
        <w:rPr>
          <w:rFonts w:asciiTheme="majorHAnsi" w:hAnsiTheme="majorHAnsi"/>
        </w:rPr>
        <w:t xml:space="preserve"> management plan:</w:t>
      </w:r>
    </w:p>
    <w:p w:rsidR="00220462" w:rsidRPr="002B2167" w:rsidRDefault="00220462" w:rsidP="003859F2">
      <w:pPr>
        <w:pStyle w:val="ListParagraph"/>
        <w:ind w:left="418"/>
        <w:rPr>
          <w:rFonts w:asciiTheme="majorHAnsi" w:hAnsiTheme="majorHAnsi"/>
        </w:rPr>
      </w:pPr>
    </w:p>
    <w:p w:rsidR="00220462" w:rsidRPr="002B2167" w:rsidRDefault="00F51EFC" w:rsidP="00220462">
      <w:pPr>
        <w:pStyle w:val="ListParagraph"/>
        <w:numPr>
          <w:ilvl w:val="0"/>
          <w:numId w:val="13"/>
        </w:numPr>
        <w:rPr>
          <w:rFonts w:asciiTheme="majorHAnsi" w:eastAsia="Times New Roman" w:hAnsiTheme="majorHAnsi" w:cs="Arial"/>
        </w:rPr>
      </w:pPr>
      <w:r w:rsidRPr="002B2167">
        <w:rPr>
          <w:rFonts w:asciiTheme="majorHAnsi" w:eastAsia="Times New Roman" w:hAnsiTheme="majorHAnsi" w:cs="Arial"/>
          <w:i/>
        </w:rPr>
        <w:t>“</w:t>
      </w:r>
      <w:r w:rsidR="006E46FE" w:rsidRPr="002B2167">
        <w:rPr>
          <w:rFonts w:asciiTheme="majorHAnsi" w:eastAsia="Times New Roman" w:hAnsiTheme="majorHAnsi" w:cs="Arial"/>
          <w:i/>
        </w:rPr>
        <w:t>Future growth in the area will be managed to minimize negative impacts on the character of these communities, particularly those impacts related to the generation of light, air, and water pollution, open space, wildlife and wildlife habitat and the blending of new development with any existing development. The scenic value of the natural hills and valleys is an important component of the North Valleys’ character</w:t>
      </w:r>
      <w:r w:rsidR="006E46FE" w:rsidRPr="002B2167">
        <w:rPr>
          <w:rFonts w:asciiTheme="majorHAnsi" w:eastAsia="Times New Roman" w:hAnsiTheme="majorHAnsi" w:cs="Arial"/>
        </w:rPr>
        <w:t xml:space="preserve"> (Washoe County Master Plan</w:t>
      </w:r>
      <w:r w:rsidR="007F6A07" w:rsidRPr="002B2167">
        <w:rPr>
          <w:rFonts w:asciiTheme="majorHAnsi" w:eastAsia="Times New Roman" w:hAnsiTheme="majorHAnsi" w:cs="Arial"/>
        </w:rPr>
        <w:t xml:space="preserve"> North Valleys Area Plan</w:t>
      </w:r>
      <w:r w:rsidR="006E46FE" w:rsidRPr="002B2167">
        <w:rPr>
          <w:rFonts w:asciiTheme="majorHAnsi" w:eastAsia="Times New Roman" w:hAnsiTheme="majorHAnsi" w:cs="Arial"/>
        </w:rPr>
        <w:t xml:space="preserve"> September 9, 2010, Page 2)</w:t>
      </w:r>
      <w:r w:rsidR="007F6A07" w:rsidRPr="002B2167">
        <w:rPr>
          <w:rFonts w:asciiTheme="majorHAnsi" w:eastAsia="Times New Roman" w:hAnsiTheme="majorHAnsi" w:cs="Arial"/>
        </w:rPr>
        <w:t>.</w:t>
      </w:r>
      <w:r w:rsidR="006E46FE" w:rsidRPr="002B2167">
        <w:rPr>
          <w:rFonts w:asciiTheme="majorHAnsi" w:eastAsia="Times New Roman" w:hAnsiTheme="majorHAnsi" w:cs="Arial"/>
        </w:rPr>
        <w:t xml:space="preserve"> </w:t>
      </w:r>
    </w:p>
    <w:p w:rsidR="00220462" w:rsidRPr="002B2167" w:rsidRDefault="00220462" w:rsidP="00220462">
      <w:pPr>
        <w:pStyle w:val="ListParagraph"/>
        <w:ind w:left="418"/>
        <w:rPr>
          <w:rFonts w:asciiTheme="majorHAnsi" w:eastAsia="Times New Roman" w:hAnsiTheme="majorHAnsi" w:cs="Arial"/>
          <w:i/>
        </w:rPr>
      </w:pPr>
    </w:p>
    <w:p w:rsidR="00220462" w:rsidRPr="0003159C" w:rsidRDefault="007F6A07" w:rsidP="00220462">
      <w:pPr>
        <w:pStyle w:val="ListParagraph"/>
        <w:numPr>
          <w:ilvl w:val="0"/>
          <w:numId w:val="13"/>
        </w:numPr>
        <w:rPr>
          <w:rFonts w:asciiTheme="majorHAnsi" w:hAnsiTheme="majorHAnsi"/>
          <w:i/>
        </w:rPr>
      </w:pPr>
      <w:r w:rsidRPr="002B2167">
        <w:rPr>
          <w:rFonts w:asciiTheme="majorHAnsi" w:eastAsia="Times New Roman" w:hAnsiTheme="majorHAnsi" w:cs="Arial"/>
          <w:i/>
        </w:rPr>
        <w:t>“</w:t>
      </w:r>
      <w:r w:rsidRPr="0003159C">
        <w:rPr>
          <w:rFonts w:asciiTheme="majorHAnsi" w:eastAsia="Times New Roman" w:hAnsiTheme="majorHAnsi" w:cs="Arial"/>
          <w:i/>
        </w:rPr>
        <w:t xml:space="preserve">Scenic/Recreational/Cultural Resources </w:t>
      </w:r>
    </w:p>
    <w:p w:rsidR="006C7E86" w:rsidRPr="002B2167" w:rsidRDefault="007F6A07" w:rsidP="00220462">
      <w:pPr>
        <w:pStyle w:val="ListParagraph"/>
        <w:ind w:left="1138"/>
        <w:rPr>
          <w:rFonts w:asciiTheme="majorHAnsi" w:hAnsiTheme="majorHAnsi"/>
        </w:rPr>
      </w:pPr>
      <w:r w:rsidRPr="0003159C">
        <w:rPr>
          <w:rFonts w:asciiTheme="majorHAnsi" w:eastAsia="Times New Roman" w:hAnsiTheme="majorHAnsi" w:cs="Arial"/>
          <w:i/>
        </w:rPr>
        <w:t>Goal Eight: Maintain open vistas and minimize the visual impact of hillside development.</w:t>
      </w:r>
      <w:r w:rsidRPr="002B2167">
        <w:rPr>
          <w:rFonts w:asciiTheme="majorHAnsi" w:eastAsia="Times New Roman" w:hAnsiTheme="majorHAnsi" w:cs="Arial"/>
          <w:i/>
        </w:rPr>
        <w:t xml:space="preserve"> Policies NV.8.1</w:t>
      </w:r>
      <w:r w:rsidR="00F51EFC" w:rsidRPr="002B2167">
        <w:rPr>
          <w:rFonts w:asciiTheme="majorHAnsi" w:eastAsia="Times New Roman" w:hAnsiTheme="majorHAnsi" w:cs="Arial"/>
          <w:i/>
        </w:rPr>
        <w:t>:</w:t>
      </w:r>
      <w:r w:rsidRPr="002B2167">
        <w:rPr>
          <w:rFonts w:asciiTheme="majorHAnsi" w:eastAsia="Times New Roman" w:hAnsiTheme="majorHAnsi" w:cs="Arial"/>
          <w:i/>
        </w:rPr>
        <w:t xml:space="preserve"> With the exception of temporary infrastructure for construction projects, Washoe County will require the underground placement of utility distribution infrastructure within the North Valleys Management Area.” </w:t>
      </w:r>
      <w:r w:rsidRPr="002B2167">
        <w:rPr>
          <w:rFonts w:asciiTheme="majorHAnsi" w:eastAsia="Times New Roman" w:hAnsiTheme="majorHAnsi" w:cs="Arial"/>
        </w:rPr>
        <w:t xml:space="preserve">(Washoe County Master Plan North Valleys Area Plan September 9, 2010, Page 11). </w:t>
      </w:r>
    </w:p>
    <w:p w:rsidR="006C5C13" w:rsidRPr="003859F2" w:rsidRDefault="006C5C13" w:rsidP="00E76A4E">
      <w:pPr>
        <w:rPr>
          <w:rFonts w:asciiTheme="majorHAnsi" w:hAnsiTheme="majorHAnsi"/>
        </w:rPr>
      </w:pPr>
    </w:p>
    <w:p w:rsidR="00130BB7" w:rsidRPr="0003159C" w:rsidRDefault="00130BB7" w:rsidP="003C1CE0">
      <w:pPr>
        <w:pStyle w:val="ListParagraph"/>
        <w:numPr>
          <w:ilvl w:val="0"/>
          <w:numId w:val="4"/>
        </w:numPr>
        <w:rPr>
          <w:rFonts w:asciiTheme="majorHAnsi" w:hAnsiTheme="majorHAnsi"/>
          <w:b/>
        </w:rPr>
      </w:pPr>
      <w:r w:rsidRPr="0003159C">
        <w:rPr>
          <w:rFonts w:asciiTheme="majorHAnsi" w:hAnsiTheme="majorHAnsi"/>
          <w:b/>
        </w:rPr>
        <w:t>Electric and</w:t>
      </w:r>
      <w:r w:rsidR="006848F8" w:rsidRPr="0003159C">
        <w:rPr>
          <w:rFonts w:asciiTheme="majorHAnsi" w:hAnsiTheme="majorHAnsi"/>
          <w:b/>
        </w:rPr>
        <w:t xml:space="preserve"> Magnetic Fields (Public Health and Safety)</w:t>
      </w:r>
    </w:p>
    <w:p w:rsidR="00130BB7" w:rsidRPr="0003159C" w:rsidRDefault="00130BB7" w:rsidP="00130BB7">
      <w:pPr>
        <w:pStyle w:val="ListParagraph"/>
        <w:ind w:left="420"/>
        <w:rPr>
          <w:rFonts w:asciiTheme="majorHAnsi" w:hAnsiTheme="majorHAnsi"/>
        </w:rPr>
      </w:pPr>
    </w:p>
    <w:p w:rsidR="00B13A2C" w:rsidRPr="0003159C" w:rsidRDefault="0082441A" w:rsidP="00C21B83">
      <w:pPr>
        <w:pStyle w:val="ListParagraph"/>
        <w:numPr>
          <w:ilvl w:val="0"/>
          <w:numId w:val="15"/>
        </w:numPr>
        <w:rPr>
          <w:rFonts w:asciiTheme="majorHAnsi" w:hAnsiTheme="majorHAnsi"/>
        </w:rPr>
      </w:pPr>
      <w:r w:rsidRPr="0003159C">
        <w:rPr>
          <w:rFonts w:asciiTheme="majorHAnsi" w:hAnsiTheme="majorHAnsi"/>
        </w:rPr>
        <w:t xml:space="preserve">The </w:t>
      </w:r>
      <w:r w:rsidR="00B13A2C" w:rsidRPr="0003159C">
        <w:rPr>
          <w:rFonts w:asciiTheme="majorHAnsi" w:hAnsiTheme="majorHAnsi"/>
        </w:rPr>
        <w:t xml:space="preserve">consultant for Nevada Energy measured the </w:t>
      </w:r>
      <w:r w:rsidRPr="0003159C">
        <w:rPr>
          <w:rFonts w:asciiTheme="majorHAnsi" w:hAnsiTheme="majorHAnsi"/>
        </w:rPr>
        <w:t>electric and magnetic fields at the Peav</w:t>
      </w:r>
      <w:r w:rsidR="00B6667E">
        <w:rPr>
          <w:rFonts w:asciiTheme="majorHAnsi" w:hAnsiTheme="majorHAnsi"/>
        </w:rPr>
        <w:t>ine Ranch</w:t>
      </w:r>
      <w:r w:rsidR="00B13A2C" w:rsidRPr="0003159C">
        <w:rPr>
          <w:rFonts w:asciiTheme="majorHAnsi" w:hAnsiTheme="majorHAnsi"/>
        </w:rPr>
        <w:t xml:space="preserve"> in</w:t>
      </w:r>
      <w:r w:rsidRPr="0003159C">
        <w:rPr>
          <w:rFonts w:asciiTheme="majorHAnsi" w:hAnsiTheme="majorHAnsi"/>
        </w:rPr>
        <w:t xml:space="preserve"> November</w:t>
      </w:r>
      <w:r w:rsidR="00B13A2C" w:rsidRPr="0003159C">
        <w:rPr>
          <w:rFonts w:asciiTheme="majorHAnsi" w:hAnsiTheme="majorHAnsi"/>
        </w:rPr>
        <w:t>,</w:t>
      </w:r>
      <w:r w:rsidRPr="0003159C">
        <w:rPr>
          <w:rFonts w:asciiTheme="majorHAnsi" w:hAnsiTheme="majorHAnsi"/>
        </w:rPr>
        <w:t xml:space="preserve"> 2013.  The resulting report states, </w:t>
      </w:r>
      <w:r w:rsidR="006848F8" w:rsidRPr="0003159C">
        <w:rPr>
          <w:rFonts w:asciiTheme="majorHAnsi" w:hAnsiTheme="majorHAnsi"/>
        </w:rPr>
        <w:t>“</w:t>
      </w:r>
      <w:r w:rsidR="006848F8" w:rsidRPr="0003159C">
        <w:rPr>
          <w:rFonts w:asciiTheme="majorHAnsi" w:hAnsiTheme="majorHAnsi"/>
          <w:i/>
        </w:rPr>
        <w:t>elec</w:t>
      </w:r>
      <w:r w:rsidRPr="0003159C">
        <w:rPr>
          <w:rFonts w:asciiTheme="majorHAnsi" w:hAnsiTheme="majorHAnsi"/>
          <w:i/>
        </w:rPr>
        <w:t>tric fields ranged from 0.007 k</w:t>
      </w:r>
      <w:r w:rsidR="006848F8" w:rsidRPr="0003159C">
        <w:rPr>
          <w:rFonts w:asciiTheme="majorHAnsi" w:hAnsiTheme="majorHAnsi"/>
          <w:i/>
        </w:rPr>
        <w:t xml:space="preserve">V/m to 1.007 kV/m near the 345 </w:t>
      </w:r>
      <w:r w:rsidRPr="0003159C">
        <w:rPr>
          <w:rFonts w:asciiTheme="majorHAnsi" w:hAnsiTheme="majorHAnsi"/>
          <w:i/>
        </w:rPr>
        <w:t>k</w:t>
      </w:r>
      <w:r w:rsidR="00B13A2C" w:rsidRPr="0003159C">
        <w:rPr>
          <w:rFonts w:asciiTheme="majorHAnsi" w:hAnsiTheme="majorHAnsi"/>
          <w:i/>
        </w:rPr>
        <w:t>V</w:t>
      </w:r>
      <w:r w:rsidR="006848F8" w:rsidRPr="0003159C">
        <w:rPr>
          <w:rFonts w:asciiTheme="majorHAnsi" w:hAnsiTheme="majorHAnsi"/>
          <w:i/>
        </w:rPr>
        <w:t xml:space="preserve"> transmission line.  Trees and bushes were present along the residential driveway which provided shielding of the electric field</w:t>
      </w:r>
      <w:r w:rsidR="006848F8" w:rsidRPr="0003159C">
        <w:rPr>
          <w:rFonts w:asciiTheme="majorHAnsi" w:hAnsiTheme="majorHAnsi"/>
        </w:rPr>
        <w:t xml:space="preserve">” (EMF Evaluation for Proposed Bordertown to </w:t>
      </w:r>
      <w:r w:rsidR="00B13A2C" w:rsidRPr="0003159C">
        <w:rPr>
          <w:rFonts w:asciiTheme="majorHAnsi" w:hAnsiTheme="majorHAnsi"/>
        </w:rPr>
        <w:t>California</w:t>
      </w:r>
      <w:r w:rsidR="006848F8" w:rsidRPr="0003159C">
        <w:rPr>
          <w:rFonts w:asciiTheme="majorHAnsi" w:hAnsiTheme="majorHAnsi"/>
        </w:rPr>
        <w:t xml:space="preserve"> 120kV Trans</w:t>
      </w:r>
      <w:r w:rsidR="00B13A2C" w:rsidRPr="0003159C">
        <w:rPr>
          <w:rFonts w:asciiTheme="majorHAnsi" w:hAnsiTheme="majorHAnsi"/>
        </w:rPr>
        <w:t>miss</w:t>
      </w:r>
      <w:r w:rsidR="006848F8" w:rsidRPr="0003159C">
        <w:rPr>
          <w:rFonts w:asciiTheme="majorHAnsi" w:hAnsiTheme="majorHAnsi"/>
        </w:rPr>
        <w:t>ion Line, page 41, 2013)</w:t>
      </w:r>
      <w:r w:rsidR="00697B1D" w:rsidRPr="0003159C">
        <w:rPr>
          <w:rFonts w:asciiTheme="majorHAnsi" w:hAnsiTheme="majorHAnsi"/>
        </w:rPr>
        <w:t>.  In the fall of 2014, NV</w:t>
      </w:r>
      <w:r w:rsidRPr="0003159C">
        <w:rPr>
          <w:rFonts w:asciiTheme="majorHAnsi" w:hAnsiTheme="majorHAnsi"/>
        </w:rPr>
        <w:t xml:space="preserve"> Energy insisted in removing the shrubs and trees along my </w:t>
      </w:r>
      <w:r w:rsidR="00B13A2C" w:rsidRPr="0003159C">
        <w:rPr>
          <w:rFonts w:asciiTheme="majorHAnsi" w:hAnsiTheme="majorHAnsi"/>
        </w:rPr>
        <w:t>fence line</w:t>
      </w:r>
      <w:r w:rsidR="00973EAC" w:rsidRPr="0003159C">
        <w:rPr>
          <w:rFonts w:asciiTheme="majorHAnsi" w:hAnsiTheme="majorHAnsi"/>
        </w:rPr>
        <w:t xml:space="preserve"> </w:t>
      </w:r>
      <w:r w:rsidR="00697B1D" w:rsidRPr="0003159C">
        <w:rPr>
          <w:rFonts w:asciiTheme="majorHAnsi" w:hAnsiTheme="majorHAnsi"/>
        </w:rPr>
        <w:t xml:space="preserve">(beneath #257 distribution line) </w:t>
      </w:r>
      <w:r w:rsidR="00973EAC" w:rsidRPr="0003159C">
        <w:rPr>
          <w:rFonts w:asciiTheme="majorHAnsi" w:hAnsiTheme="majorHAnsi"/>
        </w:rPr>
        <w:t>that were</w:t>
      </w:r>
      <w:r w:rsidRPr="0003159C">
        <w:rPr>
          <w:rFonts w:asciiTheme="majorHAnsi" w:hAnsiTheme="majorHAnsi"/>
        </w:rPr>
        <w:t xml:space="preserve"> providing this shielding. </w:t>
      </w:r>
      <w:r w:rsidR="00B13A2C" w:rsidRPr="0003159C">
        <w:rPr>
          <w:rFonts w:asciiTheme="majorHAnsi" w:hAnsiTheme="majorHAnsi"/>
        </w:rPr>
        <w:t xml:space="preserve"> In addition, they topped a fir tree that was the </w:t>
      </w:r>
      <w:r w:rsidR="00B13A2C" w:rsidRPr="0003159C">
        <w:rPr>
          <w:rFonts w:asciiTheme="majorHAnsi" w:hAnsiTheme="majorHAnsi"/>
        </w:rPr>
        <w:lastRenderedPageBreak/>
        <w:t>last of the three planted as mitigation for shielding and visual impacts from the construction of the 345kV Alturas line.   I contend that the shielding that was present during your data collection has been removed and the existing measurements may be higher today.</w:t>
      </w:r>
      <w:r w:rsidR="00973EAC" w:rsidRPr="0003159C">
        <w:rPr>
          <w:rFonts w:asciiTheme="majorHAnsi" w:hAnsiTheme="majorHAnsi"/>
        </w:rPr>
        <w:t xml:space="preserve">  </w:t>
      </w:r>
    </w:p>
    <w:p w:rsidR="006848F8" w:rsidRPr="0003159C" w:rsidRDefault="006848F8" w:rsidP="00130BB7">
      <w:pPr>
        <w:pStyle w:val="ListParagraph"/>
        <w:ind w:left="420"/>
        <w:rPr>
          <w:rFonts w:asciiTheme="majorHAnsi" w:hAnsiTheme="majorHAnsi"/>
        </w:rPr>
      </w:pPr>
    </w:p>
    <w:p w:rsidR="00130BB7" w:rsidRPr="0003159C" w:rsidRDefault="00BA7B23" w:rsidP="00C21B83">
      <w:pPr>
        <w:pStyle w:val="ListParagraph"/>
        <w:numPr>
          <w:ilvl w:val="0"/>
          <w:numId w:val="15"/>
        </w:numPr>
        <w:rPr>
          <w:rFonts w:asciiTheme="majorHAnsi" w:hAnsiTheme="majorHAnsi"/>
        </w:rPr>
      </w:pPr>
      <w:r w:rsidRPr="0003159C">
        <w:rPr>
          <w:rFonts w:asciiTheme="majorHAnsi" w:hAnsiTheme="majorHAnsi"/>
        </w:rPr>
        <w:t xml:space="preserve">The </w:t>
      </w:r>
      <w:r w:rsidR="00130BB7" w:rsidRPr="0003159C">
        <w:rPr>
          <w:rFonts w:asciiTheme="majorHAnsi" w:hAnsiTheme="majorHAnsi"/>
        </w:rPr>
        <w:t>DEIS</w:t>
      </w:r>
      <w:r w:rsidRPr="0003159C">
        <w:rPr>
          <w:rFonts w:asciiTheme="majorHAnsi" w:hAnsiTheme="majorHAnsi"/>
        </w:rPr>
        <w:t xml:space="preserve"> states</w:t>
      </w:r>
      <w:r w:rsidR="00130BB7" w:rsidRPr="0003159C">
        <w:rPr>
          <w:rFonts w:asciiTheme="majorHAnsi" w:hAnsiTheme="majorHAnsi"/>
        </w:rPr>
        <w:t>, “</w:t>
      </w:r>
      <w:r w:rsidR="00130BB7" w:rsidRPr="0003159C">
        <w:rPr>
          <w:rFonts w:asciiTheme="majorHAnsi" w:hAnsiTheme="majorHAnsi"/>
          <w:i/>
        </w:rPr>
        <w:t>Trees and buildings can significantly reduce ground level electric fields by shielding the nearby area</w:t>
      </w:r>
      <w:r w:rsidR="00130BB7" w:rsidRPr="0003159C">
        <w:rPr>
          <w:rFonts w:asciiTheme="majorHAnsi" w:hAnsiTheme="majorHAnsi"/>
        </w:rPr>
        <w:t>”</w:t>
      </w:r>
      <w:r w:rsidRPr="0003159C">
        <w:rPr>
          <w:rFonts w:asciiTheme="majorHAnsi" w:hAnsiTheme="majorHAnsi"/>
        </w:rPr>
        <w:t xml:space="preserve"> (page 3-31)</w:t>
      </w:r>
      <w:r w:rsidR="00130BB7" w:rsidRPr="0003159C">
        <w:rPr>
          <w:rFonts w:asciiTheme="majorHAnsi" w:hAnsiTheme="majorHAnsi"/>
        </w:rPr>
        <w:t xml:space="preserve">.  </w:t>
      </w:r>
      <w:r w:rsidRPr="0003159C">
        <w:rPr>
          <w:rFonts w:asciiTheme="majorHAnsi" w:hAnsiTheme="majorHAnsi"/>
        </w:rPr>
        <w:t xml:space="preserve"> In addition, specific design features for </w:t>
      </w:r>
      <w:r w:rsidR="00697B1D" w:rsidRPr="0003159C">
        <w:rPr>
          <w:rFonts w:asciiTheme="majorHAnsi" w:hAnsiTheme="majorHAnsi"/>
        </w:rPr>
        <w:t>the Poeville</w:t>
      </w:r>
      <w:r w:rsidRPr="0003159C">
        <w:rPr>
          <w:rFonts w:asciiTheme="majorHAnsi" w:hAnsiTheme="majorHAnsi"/>
        </w:rPr>
        <w:t xml:space="preserve"> Alternative </w:t>
      </w:r>
      <w:r w:rsidR="00697B1D" w:rsidRPr="0003159C">
        <w:rPr>
          <w:rFonts w:asciiTheme="majorHAnsi" w:hAnsiTheme="majorHAnsi"/>
        </w:rPr>
        <w:t>mitigating</w:t>
      </w:r>
      <w:r w:rsidRPr="0003159C">
        <w:rPr>
          <w:rFonts w:asciiTheme="majorHAnsi" w:hAnsiTheme="majorHAnsi"/>
        </w:rPr>
        <w:t xml:space="preserve"> impacts to the cultural and visual resources </w:t>
      </w:r>
      <w:r w:rsidR="00697B1D" w:rsidRPr="0003159C">
        <w:rPr>
          <w:rFonts w:asciiTheme="majorHAnsi" w:hAnsiTheme="majorHAnsi"/>
        </w:rPr>
        <w:t>of the Peavine Ranch included</w:t>
      </w:r>
      <w:r w:rsidRPr="0003159C">
        <w:rPr>
          <w:rFonts w:asciiTheme="majorHAnsi" w:hAnsiTheme="majorHAnsi"/>
        </w:rPr>
        <w:t xml:space="preserve"> additional landscaping and planting of trees.  This proposal has merit, however, it is in direct conflict with the requirement of</w:t>
      </w:r>
      <w:r w:rsidR="00697B1D" w:rsidRPr="0003159C">
        <w:rPr>
          <w:rFonts w:asciiTheme="majorHAnsi" w:hAnsiTheme="majorHAnsi"/>
        </w:rPr>
        <w:t xml:space="preserve"> the proposed action that requires tree removal within the 90-foot ROW plus any tree outside the ROW that may have the potential to fall on the transmission line wire (Table2.3-1, page 2-9).</w:t>
      </w:r>
      <w:r w:rsidRPr="0003159C">
        <w:rPr>
          <w:rFonts w:asciiTheme="majorHAnsi" w:hAnsiTheme="majorHAnsi"/>
        </w:rPr>
        <w:t xml:space="preserve"> </w:t>
      </w:r>
    </w:p>
    <w:p w:rsidR="007528C3" w:rsidRPr="0003159C" w:rsidRDefault="007528C3" w:rsidP="007528C3">
      <w:pPr>
        <w:pStyle w:val="ListParagraph"/>
        <w:rPr>
          <w:rFonts w:asciiTheme="majorHAnsi" w:hAnsiTheme="majorHAnsi"/>
        </w:rPr>
      </w:pPr>
    </w:p>
    <w:p w:rsidR="007528C3" w:rsidRPr="0003159C" w:rsidRDefault="007528C3" w:rsidP="00C21B83">
      <w:pPr>
        <w:pStyle w:val="ListParagraph"/>
        <w:numPr>
          <w:ilvl w:val="0"/>
          <w:numId w:val="15"/>
        </w:numPr>
        <w:rPr>
          <w:rFonts w:asciiTheme="majorHAnsi" w:hAnsiTheme="majorHAnsi"/>
        </w:rPr>
      </w:pPr>
      <w:r w:rsidRPr="0003159C">
        <w:rPr>
          <w:rFonts w:asciiTheme="majorHAnsi" w:hAnsiTheme="majorHAnsi"/>
        </w:rPr>
        <w:t xml:space="preserve">I was unable to find any reference within the DEIS or EMF report that addressed the noise emitted by the powerlines and how adding the 120kV will add to the noise pollution emitted by the Alturas 345kV line.  </w:t>
      </w:r>
      <w:r w:rsidR="00824BD0">
        <w:rPr>
          <w:rFonts w:asciiTheme="majorHAnsi" w:hAnsiTheme="majorHAnsi"/>
        </w:rPr>
        <w:t>The Alturas power</w:t>
      </w:r>
      <w:r w:rsidRPr="0003159C">
        <w:rPr>
          <w:rFonts w:asciiTheme="majorHAnsi" w:hAnsiTheme="majorHAnsi"/>
        </w:rPr>
        <w:t xml:space="preserve"> li</w:t>
      </w:r>
      <w:r w:rsidR="00B6667E">
        <w:rPr>
          <w:rFonts w:asciiTheme="majorHAnsi" w:hAnsiTheme="majorHAnsi"/>
        </w:rPr>
        <w:t>ne</w:t>
      </w:r>
      <w:r w:rsidR="00824BD0">
        <w:rPr>
          <w:rFonts w:asciiTheme="majorHAnsi" w:hAnsiTheme="majorHAnsi"/>
        </w:rPr>
        <w:t xml:space="preserve"> currently</w:t>
      </w:r>
      <w:r w:rsidR="00B6667E">
        <w:rPr>
          <w:rFonts w:asciiTheme="majorHAnsi" w:hAnsiTheme="majorHAnsi"/>
        </w:rPr>
        <w:t xml:space="preserve"> emits a constant </w:t>
      </w:r>
      <w:r w:rsidR="00824BD0">
        <w:rPr>
          <w:rFonts w:asciiTheme="majorHAnsi" w:hAnsiTheme="majorHAnsi"/>
        </w:rPr>
        <w:t>buzzing sound.  However, when fog, rain, or snow is</w:t>
      </w:r>
      <w:r w:rsidRPr="0003159C">
        <w:rPr>
          <w:rFonts w:asciiTheme="majorHAnsi" w:hAnsiTheme="majorHAnsi"/>
        </w:rPr>
        <w:t xml:space="preserve"> present, a loud and constant popping noise occurs. </w:t>
      </w:r>
    </w:p>
    <w:p w:rsidR="007528C3" w:rsidRPr="0003159C" w:rsidRDefault="007528C3" w:rsidP="007528C3">
      <w:pPr>
        <w:pStyle w:val="ListParagraph"/>
        <w:rPr>
          <w:rFonts w:asciiTheme="majorHAnsi" w:hAnsiTheme="majorHAnsi"/>
        </w:rPr>
      </w:pPr>
    </w:p>
    <w:p w:rsidR="007528C3" w:rsidRPr="0003159C" w:rsidRDefault="007528C3" w:rsidP="00C21B83">
      <w:pPr>
        <w:pStyle w:val="ListParagraph"/>
        <w:numPr>
          <w:ilvl w:val="0"/>
          <w:numId w:val="15"/>
        </w:numPr>
        <w:rPr>
          <w:rFonts w:asciiTheme="majorHAnsi" w:hAnsiTheme="majorHAnsi"/>
        </w:rPr>
      </w:pPr>
      <w:r w:rsidRPr="0003159C">
        <w:rPr>
          <w:rFonts w:asciiTheme="majorHAnsi" w:hAnsiTheme="majorHAnsi"/>
        </w:rPr>
        <w:t xml:space="preserve">The disclosure of stray voltage/current impacts was </w:t>
      </w:r>
      <w:r w:rsidR="00164F6F" w:rsidRPr="0003159C">
        <w:rPr>
          <w:rFonts w:asciiTheme="majorHAnsi" w:hAnsiTheme="majorHAnsi"/>
        </w:rPr>
        <w:t>not address in the DEIS and was</w:t>
      </w:r>
      <w:r w:rsidRPr="0003159C">
        <w:rPr>
          <w:rFonts w:asciiTheme="majorHAnsi" w:hAnsiTheme="majorHAnsi"/>
        </w:rPr>
        <w:t xml:space="preserve"> given a one sentence statement in the EMF </w:t>
      </w:r>
      <w:r w:rsidR="00164F6F" w:rsidRPr="0003159C">
        <w:rPr>
          <w:rFonts w:asciiTheme="majorHAnsi" w:hAnsiTheme="majorHAnsi"/>
        </w:rPr>
        <w:t xml:space="preserve">specialist </w:t>
      </w:r>
      <w:r w:rsidRPr="0003159C">
        <w:rPr>
          <w:rFonts w:asciiTheme="majorHAnsi" w:hAnsiTheme="majorHAnsi"/>
        </w:rPr>
        <w:t xml:space="preserve">report.  </w:t>
      </w:r>
      <w:r w:rsidR="00164F6F" w:rsidRPr="0003159C">
        <w:rPr>
          <w:rFonts w:asciiTheme="majorHAnsi" w:hAnsiTheme="majorHAnsi"/>
        </w:rPr>
        <w:t>A</w:t>
      </w:r>
      <w:r w:rsidRPr="0003159C">
        <w:rPr>
          <w:rFonts w:asciiTheme="majorHAnsi" w:hAnsiTheme="majorHAnsi"/>
        </w:rPr>
        <w:t xml:space="preserve">s a </w:t>
      </w:r>
      <w:r w:rsidR="00164F6F" w:rsidRPr="0003159C">
        <w:rPr>
          <w:rFonts w:asciiTheme="majorHAnsi" w:hAnsiTheme="majorHAnsi"/>
        </w:rPr>
        <w:t>landowner</w:t>
      </w:r>
      <w:r w:rsidRPr="0003159C">
        <w:rPr>
          <w:rFonts w:asciiTheme="majorHAnsi" w:hAnsiTheme="majorHAnsi"/>
        </w:rPr>
        <w:t xml:space="preserve"> with </w:t>
      </w:r>
      <w:r w:rsidR="00164F6F" w:rsidRPr="0003159C">
        <w:rPr>
          <w:rFonts w:asciiTheme="majorHAnsi" w:hAnsiTheme="majorHAnsi"/>
        </w:rPr>
        <w:t xml:space="preserve">three </w:t>
      </w:r>
      <w:r w:rsidRPr="0003159C">
        <w:rPr>
          <w:rFonts w:asciiTheme="majorHAnsi" w:hAnsiTheme="majorHAnsi"/>
        </w:rPr>
        <w:t>metal driveway gates directly beneath the proposed 120kV line</w:t>
      </w:r>
      <w:r w:rsidR="00824BD0">
        <w:rPr>
          <w:rFonts w:asciiTheme="majorHAnsi" w:hAnsiTheme="majorHAnsi"/>
        </w:rPr>
        <w:t>, the distribution line,</w:t>
      </w:r>
      <w:r w:rsidRPr="0003159C">
        <w:rPr>
          <w:rFonts w:asciiTheme="majorHAnsi" w:hAnsiTheme="majorHAnsi"/>
        </w:rPr>
        <w:t xml:space="preserve"> and within 60 feet of the 345kV Alturas pole, </w:t>
      </w:r>
      <w:r w:rsidR="00164F6F" w:rsidRPr="0003159C">
        <w:rPr>
          <w:rFonts w:asciiTheme="majorHAnsi" w:hAnsiTheme="majorHAnsi"/>
        </w:rPr>
        <w:t>I would like to know what the proposed risk to my family is from stray voltage and currents.  The DEIS did not disclose this information.</w:t>
      </w:r>
    </w:p>
    <w:p w:rsidR="00835F09" w:rsidRDefault="00835F09" w:rsidP="00835F09"/>
    <w:p w:rsidR="00864AF8" w:rsidRPr="00824BD0" w:rsidRDefault="00864AF8" w:rsidP="00450267">
      <w:pPr>
        <w:pStyle w:val="ListParagraph"/>
        <w:numPr>
          <w:ilvl w:val="0"/>
          <w:numId w:val="4"/>
        </w:numPr>
        <w:rPr>
          <w:rFonts w:asciiTheme="majorHAnsi" w:hAnsiTheme="majorHAnsi"/>
        </w:rPr>
      </w:pPr>
      <w:r w:rsidRPr="00824BD0">
        <w:rPr>
          <w:rFonts w:asciiTheme="majorHAnsi" w:hAnsiTheme="majorHAnsi"/>
          <w:b/>
        </w:rPr>
        <w:t>Inconsistencies exist within the DEIS and supporting documents regarding ROW width</w:t>
      </w:r>
      <w:r w:rsidRPr="00824BD0">
        <w:rPr>
          <w:rFonts w:asciiTheme="majorHAnsi" w:hAnsiTheme="majorHAnsi"/>
        </w:rPr>
        <w:t xml:space="preserve">:  </w:t>
      </w:r>
    </w:p>
    <w:p w:rsidR="00864AF8" w:rsidRPr="00824BD0" w:rsidRDefault="00450267" w:rsidP="00864AF8">
      <w:pPr>
        <w:pStyle w:val="ListParagraph"/>
        <w:ind w:left="420"/>
        <w:rPr>
          <w:rFonts w:asciiTheme="majorHAnsi" w:hAnsiTheme="majorHAnsi"/>
        </w:rPr>
      </w:pPr>
      <w:r w:rsidRPr="00824BD0">
        <w:rPr>
          <w:rFonts w:asciiTheme="majorHAnsi" w:hAnsiTheme="majorHAnsi"/>
        </w:rPr>
        <w:t xml:space="preserve">The DEIS discloses the width of the </w:t>
      </w:r>
      <w:r w:rsidR="00FE36BF" w:rsidRPr="00824BD0">
        <w:rPr>
          <w:rFonts w:asciiTheme="majorHAnsi" w:hAnsiTheme="majorHAnsi"/>
        </w:rPr>
        <w:t xml:space="preserve">proposed </w:t>
      </w:r>
      <w:r w:rsidRPr="00824BD0">
        <w:rPr>
          <w:rFonts w:asciiTheme="majorHAnsi" w:hAnsiTheme="majorHAnsi"/>
        </w:rPr>
        <w:t>Right of Way</w:t>
      </w:r>
      <w:r w:rsidR="00FE36BF" w:rsidRPr="00824BD0">
        <w:rPr>
          <w:rFonts w:asciiTheme="majorHAnsi" w:hAnsiTheme="majorHAnsi"/>
        </w:rPr>
        <w:t>s</w:t>
      </w:r>
      <w:r w:rsidRPr="00824BD0">
        <w:rPr>
          <w:rFonts w:asciiTheme="majorHAnsi" w:hAnsiTheme="majorHAnsi"/>
        </w:rPr>
        <w:t xml:space="preserve"> (ROW) </w:t>
      </w:r>
      <w:r w:rsidR="00FE36BF" w:rsidRPr="00824BD0">
        <w:rPr>
          <w:rFonts w:asciiTheme="majorHAnsi" w:hAnsiTheme="majorHAnsi"/>
        </w:rPr>
        <w:t>as</w:t>
      </w:r>
      <w:r w:rsidR="00FF556F" w:rsidRPr="00824BD0">
        <w:rPr>
          <w:rFonts w:asciiTheme="majorHAnsi" w:hAnsiTheme="majorHAnsi"/>
        </w:rPr>
        <w:t xml:space="preserve"> 90-foot-wide. (DEIS, page 2-1 and </w:t>
      </w:r>
      <w:r w:rsidRPr="00824BD0">
        <w:rPr>
          <w:rFonts w:asciiTheme="majorHAnsi" w:hAnsiTheme="majorHAnsi"/>
        </w:rPr>
        <w:t>Table 2.3-1</w:t>
      </w:r>
      <w:r w:rsidR="00FF556F" w:rsidRPr="00824BD0">
        <w:rPr>
          <w:rFonts w:asciiTheme="majorHAnsi" w:hAnsiTheme="majorHAnsi"/>
        </w:rPr>
        <w:t>,</w:t>
      </w:r>
      <w:r w:rsidRPr="00824BD0">
        <w:rPr>
          <w:rFonts w:asciiTheme="majorHAnsi" w:hAnsiTheme="majorHAnsi"/>
        </w:rPr>
        <w:t xml:space="preserve"> </w:t>
      </w:r>
      <w:r w:rsidR="00FF556F" w:rsidRPr="00824BD0">
        <w:rPr>
          <w:rFonts w:asciiTheme="majorHAnsi" w:hAnsiTheme="majorHAnsi"/>
        </w:rPr>
        <w:t xml:space="preserve">page 2-9). </w:t>
      </w:r>
      <w:r w:rsidR="00864AF8" w:rsidRPr="00824BD0">
        <w:rPr>
          <w:rFonts w:asciiTheme="majorHAnsi" w:hAnsiTheme="majorHAnsi"/>
        </w:rPr>
        <w:t xml:space="preserve"> </w:t>
      </w:r>
      <w:r w:rsidR="00FF556F" w:rsidRPr="00824BD0">
        <w:rPr>
          <w:rFonts w:asciiTheme="majorHAnsi" w:hAnsiTheme="majorHAnsi"/>
        </w:rPr>
        <w:t>However, the Electric and M</w:t>
      </w:r>
      <w:r w:rsidR="00864AF8" w:rsidRPr="00824BD0">
        <w:rPr>
          <w:rFonts w:asciiTheme="majorHAnsi" w:hAnsiTheme="majorHAnsi"/>
        </w:rPr>
        <w:t>agnetic Field Evaluation report</w:t>
      </w:r>
      <w:r w:rsidR="00FF556F" w:rsidRPr="00824BD0">
        <w:rPr>
          <w:rFonts w:asciiTheme="majorHAnsi" w:hAnsiTheme="majorHAnsi"/>
        </w:rPr>
        <w:t xml:space="preserve"> specifies the 90-foot ROW would only be necessary for the H-frame configuration and the single pole would require a 40-foot wide right-of-way (page 78).  </w:t>
      </w:r>
      <w:r w:rsidR="00973EAC" w:rsidRPr="00824BD0">
        <w:rPr>
          <w:rFonts w:asciiTheme="majorHAnsi" w:hAnsiTheme="majorHAnsi"/>
        </w:rPr>
        <w:t>To avoid confusion when discussing mitigation and impacts associated with long-term ROWs, the FEIS</w:t>
      </w:r>
      <w:r w:rsidR="00FF556F" w:rsidRPr="00824BD0">
        <w:rPr>
          <w:rFonts w:asciiTheme="majorHAnsi" w:hAnsiTheme="majorHAnsi"/>
        </w:rPr>
        <w:t xml:space="preserve"> should clarify </w:t>
      </w:r>
      <w:r w:rsidR="00864AF8" w:rsidRPr="00824BD0">
        <w:rPr>
          <w:rFonts w:asciiTheme="majorHAnsi" w:hAnsiTheme="majorHAnsi"/>
        </w:rPr>
        <w:t xml:space="preserve">and disclose the ROW width required on each private </w:t>
      </w:r>
      <w:r w:rsidR="00FE36BF" w:rsidRPr="00824BD0">
        <w:rPr>
          <w:rFonts w:asciiTheme="majorHAnsi" w:hAnsiTheme="majorHAnsi"/>
        </w:rPr>
        <w:t>parcel so that landowners can better determine how this project affects them.</w:t>
      </w:r>
    </w:p>
    <w:p w:rsidR="00FE36BF" w:rsidRPr="00824BD0" w:rsidRDefault="00FE36BF" w:rsidP="00864AF8">
      <w:pPr>
        <w:pStyle w:val="ListParagraph"/>
        <w:ind w:left="420"/>
        <w:rPr>
          <w:rFonts w:asciiTheme="majorHAnsi" w:hAnsiTheme="majorHAnsi"/>
          <w:highlight w:val="yellow"/>
        </w:rPr>
      </w:pPr>
    </w:p>
    <w:p w:rsidR="00824BD0" w:rsidRDefault="00824BD0" w:rsidP="00057A11">
      <w:pPr>
        <w:rPr>
          <w:rFonts w:asciiTheme="majorHAnsi" w:hAnsiTheme="majorHAnsi" w:cs="Times New Roman"/>
        </w:rPr>
      </w:pPr>
      <w:r>
        <w:rPr>
          <w:rFonts w:asciiTheme="majorHAnsi" w:hAnsiTheme="majorHAnsi"/>
          <w:b/>
        </w:rPr>
        <w:t xml:space="preserve">In Conclusion: </w:t>
      </w:r>
    </w:p>
    <w:p w:rsidR="0003159C" w:rsidRPr="00824BD0" w:rsidRDefault="0003159C" w:rsidP="00057A11">
      <w:pPr>
        <w:rPr>
          <w:rFonts w:asciiTheme="majorHAnsi" w:hAnsiTheme="majorHAnsi" w:cs="Times New Roman"/>
        </w:rPr>
      </w:pPr>
      <w:r w:rsidRPr="00824BD0">
        <w:rPr>
          <w:rFonts w:asciiTheme="majorHAnsi" w:hAnsiTheme="majorHAnsi" w:cs="Times New Roman"/>
        </w:rPr>
        <w:t>The Peavine Ranch consists of six private land parcels.  The parcel located to the east of the historic buildings w</w:t>
      </w:r>
      <w:r w:rsidR="00645F77" w:rsidRPr="00824BD0">
        <w:rPr>
          <w:rFonts w:asciiTheme="majorHAnsi" w:hAnsiTheme="majorHAnsi" w:cs="Times New Roman"/>
        </w:rPr>
        <w:t>a</w:t>
      </w:r>
      <w:r w:rsidRPr="00824BD0">
        <w:rPr>
          <w:rFonts w:asciiTheme="majorHAnsi" w:hAnsiTheme="majorHAnsi" w:cs="Times New Roman"/>
        </w:rPr>
        <w:t xml:space="preserve">s purchased by my family after the NRHP listing and was not evaluated for eligibility </w:t>
      </w:r>
      <w:r w:rsidR="00645F77" w:rsidRPr="00824BD0">
        <w:rPr>
          <w:rFonts w:asciiTheme="majorHAnsi" w:hAnsiTheme="majorHAnsi" w:cs="Times New Roman"/>
        </w:rPr>
        <w:t>at the ti</w:t>
      </w:r>
      <w:r w:rsidRPr="00824BD0">
        <w:rPr>
          <w:rFonts w:asciiTheme="majorHAnsi" w:hAnsiTheme="majorHAnsi" w:cs="Times New Roman"/>
        </w:rPr>
        <w:t>m</w:t>
      </w:r>
      <w:r w:rsidR="00645F77" w:rsidRPr="00824BD0">
        <w:rPr>
          <w:rFonts w:asciiTheme="majorHAnsi" w:hAnsiTheme="majorHAnsi" w:cs="Times New Roman"/>
        </w:rPr>
        <w:t xml:space="preserve">e of the Alturas </w:t>
      </w:r>
      <w:r w:rsidRPr="00824BD0">
        <w:rPr>
          <w:rFonts w:asciiTheme="majorHAnsi" w:hAnsiTheme="majorHAnsi" w:cs="Times New Roman"/>
        </w:rPr>
        <w:t>project.  SHPO is currently evalua</w:t>
      </w:r>
      <w:r w:rsidR="00645F77" w:rsidRPr="00824BD0">
        <w:rPr>
          <w:rFonts w:asciiTheme="majorHAnsi" w:hAnsiTheme="majorHAnsi" w:cs="Times New Roman"/>
        </w:rPr>
        <w:t>ting the parcel to determine</w:t>
      </w:r>
      <w:r w:rsidRPr="00824BD0">
        <w:rPr>
          <w:rFonts w:asciiTheme="majorHAnsi" w:hAnsiTheme="majorHAnsi" w:cs="Times New Roman"/>
        </w:rPr>
        <w:t xml:space="preserve"> eligibility of the historic component for </w:t>
      </w:r>
      <w:r w:rsidR="00C815DE" w:rsidRPr="00824BD0">
        <w:rPr>
          <w:rFonts w:asciiTheme="majorHAnsi" w:hAnsiTheme="majorHAnsi" w:cs="Times New Roman"/>
        </w:rPr>
        <w:t>inclusion</w:t>
      </w:r>
      <w:r w:rsidRPr="00824BD0">
        <w:rPr>
          <w:rFonts w:asciiTheme="majorHAnsi" w:hAnsiTheme="majorHAnsi" w:cs="Times New Roman"/>
        </w:rPr>
        <w:t xml:space="preserve"> </w:t>
      </w:r>
      <w:r w:rsidR="00C815DE" w:rsidRPr="00824BD0">
        <w:rPr>
          <w:rFonts w:asciiTheme="majorHAnsi" w:hAnsiTheme="majorHAnsi" w:cs="Times New Roman"/>
        </w:rPr>
        <w:t xml:space="preserve">in </w:t>
      </w:r>
      <w:r w:rsidRPr="00824BD0">
        <w:rPr>
          <w:rFonts w:asciiTheme="majorHAnsi" w:hAnsiTheme="majorHAnsi" w:cs="Times New Roman"/>
        </w:rPr>
        <w:t xml:space="preserve">an </w:t>
      </w:r>
      <w:r w:rsidR="00645F77" w:rsidRPr="00824BD0">
        <w:rPr>
          <w:rFonts w:asciiTheme="majorHAnsi" w:hAnsiTheme="majorHAnsi" w:cs="Times New Roman"/>
        </w:rPr>
        <w:t>amendment</w:t>
      </w:r>
      <w:r w:rsidRPr="00824BD0">
        <w:rPr>
          <w:rFonts w:asciiTheme="majorHAnsi" w:hAnsiTheme="majorHAnsi" w:cs="Times New Roman"/>
        </w:rPr>
        <w:t xml:space="preserve"> to the NRHP listing for the Peavine Ranch.  The change in the NRHP site boundary will affect your analysis within the FEIS.</w:t>
      </w:r>
    </w:p>
    <w:p w:rsidR="0003159C" w:rsidRPr="00C815DE" w:rsidRDefault="0003159C" w:rsidP="00057A11">
      <w:pPr>
        <w:rPr>
          <w:rFonts w:asciiTheme="majorHAnsi" w:hAnsiTheme="majorHAnsi" w:cs="Times New Roman"/>
        </w:rPr>
      </w:pPr>
    </w:p>
    <w:p w:rsidR="001526BD" w:rsidRDefault="0003159C" w:rsidP="001526BD">
      <w:pPr>
        <w:rPr>
          <w:rFonts w:asciiTheme="majorHAnsi" w:hAnsiTheme="majorHAnsi"/>
        </w:rPr>
      </w:pPr>
      <w:r w:rsidRPr="00C815DE">
        <w:rPr>
          <w:rFonts w:asciiTheme="majorHAnsi" w:hAnsiTheme="majorHAnsi"/>
        </w:rPr>
        <w:lastRenderedPageBreak/>
        <w:t xml:space="preserve">Before the completion of the Final EIS, NV Energy should provide you with an engineering report, evaluating where the direct impacts would occur (pole placement, area of disturbance), and provide at least one viable alternative that would result in </w:t>
      </w:r>
      <w:r w:rsidRPr="00C815DE">
        <w:rPr>
          <w:rFonts w:asciiTheme="majorHAnsi" w:hAnsiTheme="majorHAnsi"/>
          <w:b/>
        </w:rPr>
        <w:t>avoidance</w:t>
      </w:r>
      <w:r w:rsidR="00C815DE">
        <w:rPr>
          <w:rFonts w:asciiTheme="majorHAnsi" w:hAnsiTheme="majorHAnsi"/>
        </w:rPr>
        <w:t xml:space="preserve"> of the Peavine Ranch historical resources</w:t>
      </w:r>
      <w:r w:rsidRPr="00645F77">
        <w:rPr>
          <w:rFonts w:asciiTheme="majorHAnsi" w:hAnsiTheme="majorHAnsi"/>
        </w:rPr>
        <w:t xml:space="preserve">.  </w:t>
      </w:r>
      <w:r w:rsidR="00645F77">
        <w:rPr>
          <w:rFonts w:asciiTheme="majorHAnsi" w:hAnsiTheme="majorHAnsi"/>
        </w:rPr>
        <w:t xml:space="preserve">Please </w:t>
      </w:r>
      <w:r w:rsidR="00645F77" w:rsidRPr="00645F77">
        <w:rPr>
          <w:rFonts w:asciiTheme="majorHAnsi" w:hAnsiTheme="majorHAnsi"/>
        </w:rPr>
        <w:t>include a project design feature that places</w:t>
      </w:r>
      <w:r w:rsidR="00645F77">
        <w:rPr>
          <w:rFonts w:asciiTheme="majorHAnsi" w:hAnsiTheme="majorHAnsi"/>
        </w:rPr>
        <w:t xml:space="preserve"> the powerline underground for the</w:t>
      </w:r>
      <w:r w:rsidR="00645F77" w:rsidRPr="00645F77">
        <w:rPr>
          <w:rFonts w:asciiTheme="majorHAnsi" w:hAnsiTheme="majorHAnsi"/>
        </w:rPr>
        <w:t xml:space="preserve"> distance of approximately 1450 feet, located within the strip of NDOT/NV Energy property between the frontage road and US 395</w:t>
      </w:r>
      <w:r w:rsidR="00645F77">
        <w:rPr>
          <w:rFonts w:asciiTheme="majorHAnsi" w:hAnsiTheme="majorHAnsi"/>
        </w:rPr>
        <w:t xml:space="preserve">.  </w:t>
      </w:r>
      <w:r w:rsidR="00645F77" w:rsidRPr="00C815DE">
        <w:rPr>
          <w:rFonts w:asciiTheme="majorHAnsi" w:hAnsiTheme="majorHAnsi"/>
        </w:rPr>
        <w:t xml:space="preserve">This mitigation would not be cost prohibitive as it is for a limited distance, level in terrain, and within </w:t>
      </w:r>
      <w:r w:rsidR="00645F77">
        <w:rPr>
          <w:rFonts w:asciiTheme="majorHAnsi" w:hAnsiTheme="majorHAnsi"/>
        </w:rPr>
        <w:t xml:space="preserve">the existing NDOT ROW for Hwy 395.  </w:t>
      </w:r>
    </w:p>
    <w:p w:rsidR="001526BD" w:rsidRDefault="001526BD" w:rsidP="001526BD">
      <w:pPr>
        <w:rPr>
          <w:rFonts w:asciiTheme="majorHAnsi" w:hAnsiTheme="majorHAnsi"/>
        </w:rPr>
      </w:pPr>
    </w:p>
    <w:p w:rsidR="001526BD" w:rsidRDefault="001526BD" w:rsidP="001526BD">
      <w:pPr>
        <w:rPr>
          <w:rFonts w:asciiTheme="majorHAnsi" w:hAnsiTheme="majorHAnsi"/>
        </w:rPr>
      </w:pPr>
      <w:r>
        <w:rPr>
          <w:rFonts w:asciiTheme="majorHAnsi" w:hAnsiTheme="majorHAnsi"/>
        </w:rPr>
        <w:t>Placement of</w:t>
      </w:r>
      <w:r>
        <w:rPr>
          <w:rFonts w:asciiTheme="majorHAnsi" w:hAnsiTheme="majorHAnsi"/>
        </w:rPr>
        <w:t xml:space="preserve"> the above ground lines on the north side of HWY 395 should be </w:t>
      </w:r>
      <w:r>
        <w:rPr>
          <w:rFonts w:asciiTheme="majorHAnsi" w:hAnsiTheme="majorHAnsi"/>
        </w:rPr>
        <w:t xml:space="preserve">fully </w:t>
      </w:r>
      <w:r>
        <w:rPr>
          <w:rFonts w:asciiTheme="majorHAnsi" w:hAnsiTheme="majorHAnsi"/>
        </w:rPr>
        <w:t>evaluated in the FEIS as the direct impacts to this NRHP site have not been mitigated with proposed project design criteria and the Agency has not justified the dropping of this Alternative.</w:t>
      </w:r>
    </w:p>
    <w:p w:rsidR="001526BD" w:rsidRDefault="001526BD" w:rsidP="001526BD">
      <w:pPr>
        <w:rPr>
          <w:rFonts w:asciiTheme="majorHAnsi" w:hAnsiTheme="majorHAnsi"/>
        </w:rPr>
      </w:pPr>
    </w:p>
    <w:p w:rsidR="001526BD" w:rsidRDefault="001526BD" w:rsidP="001526BD">
      <w:pPr>
        <w:rPr>
          <w:rFonts w:asciiTheme="majorHAnsi" w:hAnsiTheme="majorHAnsi"/>
        </w:rPr>
      </w:pPr>
      <w:r>
        <w:rPr>
          <w:rFonts w:asciiTheme="majorHAnsi" w:hAnsiTheme="majorHAnsi"/>
        </w:rPr>
        <w:t>Thank you for the opportunity to comment on the Draft EIS for this project.  I look forward to working with your staff in the future on the DEIS.</w:t>
      </w:r>
    </w:p>
    <w:p w:rsidR="001526BD" w:rsidRDefault="001526BD" w:rsidP="001526BD">
      <w:pPr>
        <w:rPr>
          <w:rFonts w:asciiTheme="majorHAnsi" w:hAnsiTheme="majorHAnsi"/>
        </w:rPr>
      </w:pPr>
    </w:p>
    <w:p w:rsidR="001526BD" w:rsidRDefault="001526BD" w:rsidP="001526BD">
      <w:pPr>
        <w:rPr>
          <w:rFonts w:asciiTheme="majorHAnsi" w:hAnsiTheme="majorHAnsi"/>
        </w:rPr>
      </w:pPr>
      <w:r>
        <w:rPr>
          <w:rFonts w:asciiTheme="majorHAnsi" w:hAnsiTheme="majorHAnsi"/>
        </w:rPr>
        <w:t>Sincerely,</w:t>
      </w:r>
    </w:p>
    <w:p w:rsidR="001526BD" w:rsidRDefault="001526BD" w:rsidP="001526BD">
      <w:pPr>
        <w:rPr>
          <w:rFonts w:asciiTheme="majorHAnsi" w:hAnsiTheme="majorHAnsi"/>
        </w:rPr>
      </w:pPr>
    </w:p>
    <w:p w:rsidR="001526BD" w:rsidRPr="001526BD" w:rsidRDefault="001526BD" w:rsidP="001526BD">
      <w:pPr>
        <w:rPr>
          <w:rFonts w:ascii="Kunstler Script" w:hAnsi="Kunstler Script"/>
          <w:sz w:val="28"/>
          <w:szCs w:val="28"/>
        </w:rPr>
      </w:pPr>
      <w:r w:rsidRPr="001526BD">
        <w:rPr>
          <w:rFonts w:ascii="Kunstler Script" w:hAnsi="Kunstler Script"/>
          <w:sz w:val="28"/>
          <w:szCs w:val="28"/>
        </w:rPr>
        <w:t>Rene’ M. Mabe</w:t>
      </w:r>
    </w:p>
    <w:p w:rsidR="001526BD" w:rsidRDefault="001526BD" w:rsidP="001526BD">
      <w:pPr>
        <w:rPr>
          <w:rFonts w:asciiTheme="majorHAnsi" w:hAnsiTheme="majorHAnsi"/>
        </w:rPr>
      </w:pPr>
      <w:r>
        <w:rPr>
          <w:rFonts w:asciiTheme="majorHAnsi" w:hAnsiTheme="majorHAnsi"/>
        </w:rPr>
        <w:t>Rene’ M. Mabe</w:t>
      </w:r>
    </w:p>
    <w:p w:rsidR="00645F77" w:rsidRDefault="00645F77" w:rsidP="00645F77">
      <w:pPr>
        <w:rPr>
          <w:rFonts w:asciiTheme="majorHAnsi" w:hAnsiTheme="majorHAnsi"/>
        </w:rPr>
      </w:pPr>
    </w:p>
    <w:p w:rsidR="00645F77" w:rsidRDefault="00645F77" w:rsidP="00645F77">
      <w:pPr>
        <w:rPr>
          <w:rFonts w:asciiTheme="majorHAnsi" w:hAnsiTheme="majorHAnsi"/>
        </w:rPr>
      </w:pPr>
    </w:p>
    <w:p w:rsidR="00450267" w:rsidRDefault="00450267" w:rsidP="00057A11">
      <w:pPr>
        <w:rPr>
          <w:rFonts w:asciiTheme="majorHAnsi" w:hAnsiTheme="majorHAnsi" w:cs="Times New Roman"/>
        </w:rPr>
      </w:pPr>
    </w:p>
    <w:p w:rsidR="00D663EE" w:rsidRDefault="00D663EE" w:rsidP="00FA6855">
      <w:pPr>
        <w:rPr>
          <w:highlight w:val="yellow"/>
        </w:rPr>
      </w:pPr>
    </w:p>
    <w:p w:rsidR="00E76A4E" w:rsidRDefault="00E76A4E" w:rsidP="00E76A4E">
      <w:pPr>
        <w:rPr>
          <w:rFonts w:asciiTheme="majorHAnsi" w:hAnsiTheme="majorHAnsi"/>
        </w:rPr>
      </w:pPr>
    </w:p>
    <w:p w:rsidR="00F763EF" w:rsidRPr="00F763EF" w:rsidRDefault="00F763EF" w:rsidP="00F763EF">
      <w:pPr>
        <w:rPr>
          <w:highlight w:val="yellow"/>
        </w:rPr>
      </w:pPr>
      <w:r w:rsidRPr="00F763EF">
        <w:rPr>
          <w:highlight w:val="yellow"/>
        </w:rPr>
        <w:t xml:space="preserve">  </w:t>
      </w:r>
    </w:p>
    <w:p w:rsidR="003A4D5C" w:rsidRDefault="003A4D5C" w:rsidP="003A4D5C">
      <w:pPr>
        <w:pStyle w:val="ListParagraph"/>
        <w:ind w:left="420"/>
      </w:pPr>
    </w:p>
    <w:p w:rsidR="00AD0B24" w:rsidRDefault="00AD0B24">
      <w:pPr>
        <w:rPr>
          <w:rFonts w:asciiTheme="majorHAnsi" w:hAnsiTheme="majorHAnsi"/>
        </w:rPr>
      </w:pPr>
    </w:p>
    <w:p w:rsidR="00AD0B24" w:rsidRDefault="00AD0B24">
      <w:pPr>
        <w:rPr>
          <w:rFonts w:asciiTheme="majorHAnsi" w:hAnsiTheme="majorHAnsi"/>
        </w:rPr>
      </w:pPr>
    </w:p>
    <w:p w:rsidR="00AD0B24" w:rsidRDefault="00AD0B24">
      <w:pPr>
        <w:rPr>
          <w:rFonts w:asciiTheme="majorHAnsi" w:hAnsiTheme="majorHAnsi"/>
        </w:rPr>
      </w:pPr>
    </w:p>
    <w:p w:rsidR="00AD0B24" w:rsidRDefault="00AD0B24">
      <w:pPr>
        <w:rPr>
          <w:rFonts w:asciiTheme="majorHAnsi" w:hAnsiTheme="majorHAnsi"/>
        </w:rPr>
      </w:pPr>
    </w:p>
    <w:p w:rsidR="00AD0B24" w:rsidRDefault="00AD0B24">
      <w:pPr>
        <w:rPr>
          <w:rFonts w:asciiTheme="majorHAnsi" w:hAnsiTheme="majorHAnsi"/>
        </w:rPr>
      </w:pPr>
    </w:p>
    <w:sectPr w:rsidR="00AD0B24" w:rsidSect="00327DD7">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26B" w:rsidRDefault="00C7126B" w:rsidP="001A674D">
      <w:r>
        <w:separator/>
      </w:r>
    </w:p>
  </w:endnote>
  <w:endnote w:type="continuationSeparator" w:id="0">
    <w:p w:rsidR="00C7126B" w:rsidRDefault="00C7126B" w:rsidP="001A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2403"/>
      <w:docPartObj>
        <w:docPartGallery w:val="Page Numbers (Bottom of Page)"/>
        <w:docPartUnique/>
      </w:docPartObj>
    </w:sdtPr>
    <w:sdtEndPr>
      <w:rPr>
        <w:color w:val="808080" w:themeColor="background1" w:themeShade="80"/>
        <w:spacing w:val="60"/>
      </w:rPr>
    </w:sdtEndPr>
    <w:sdtContent>
      <w:p w:rsidR="00327DD7" w:rsidRDefault="00327DD7">
        <w:pPr>
          <w:pStyle w:val="Footer"/>
          <w:pBdr>
            <w:top w:val="single" w:sz="4" w:space="1" w:color="D9D9D9" w:themeColor="background1" w:themeShade="D9"/>
          </w:pBdr>
          <w:jc w:val="right"/>
        </w:pPr>
        <w:r>
          <w:fldChar w:fldCharType="begin"/>
        </w:r>
        <w:r>
          <w:instrText xml:space="preserve"> PAGE   \* MERGEFORMAT </w:instrText>
        </w:r>
        <w:r>
          <w:fldChar w:fldCharType="separate"/>
        </w:r>
        <w:r w:rsidR="00915E55">
          <w:rPr>
            <w:noProof/>
          </w:rPr>
          <w:t>4</w:t>
        </w:r>
        <w:r>
          <w:rPr>
            <w:noProof/>
          </w:rPr>
          <w:fldChar w:fldCharType="end"/>
        </w:r>
        <w:r>
          <w:t xml:space="preserve"> | </w:t>
        </w:r>
        <w:r>
          <w:rPr>
            <w:color w:val="808080" w:themeColor="background1" w:themeShade="80"/>
            <w:spacing w:val="60"/>
          </w:rPr>
          <w:t>Page</w:t>
        </w:r>
      </w:p>
    </w:sdtContent>
  </w:sdt>
  <w:p w:rsidR="00327DD7" w:rsidRDefault="00327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26B" w:rsidRDefault="00C7126B" w:rsidP="001A674D">
      <w:r>
        <w:separator/>
      </w:r>
    </w:p>
  </w:footnote>
  <w:footnote w:type="continuationSeparator" w:id="0">
    <w:p w:rsidR="00C7126B" w:rsidRDefault="00C7126B" w:rsidP="001A67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6EC2"/>
    <w:multiLevelType w:val="hybridMultilevel"/>
    <w:tmpl w:val="BDF03154"/>
    <w:lvl w:ilvl="0" w:tplc="0409000B">
      <w:start w:val="1"/>
      <w:numFmt w:val="bullet"/>
      <w:lvlText w:val=""/>
      <w:lvlJc w:val="left"/>
      <w:pPr>
        <w:ind w:left="1138" w:hanging="360"/>
      </w:pPr>
      <w:rPr>
        <w:rFonts w:ascii="Wingdings" w:hAnsi="Wingdings"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1">
    <w:nsid w:val="077D01B3"/>
    <w:multiLevelType w:val="hybridMultilevel"/>
    <w:tmpl w:val="CAE08C3E"/>
    <w:lvl w:ilvl="0" w:tplc="04090001">
      <w:start w:val="1"/>
      <w:numFmt w:val="bullet"/>
      <w:lvlText w:val=""/>
      <w:lvlJc w:val="left"/>
      <w:pPr>
        <w:ind w:left="1138" w:hanging="360"/>
      </w:pPr>
      <w:rPr>
        <w:rFonts w:ascii="Symbol" w:hAnsi="Symbo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2">
    <w:nsid w:val="0ED704E4"/>
    <w:multiLevelType w:val="hybridMultilevel"/>
    <w:tmpl w:val="250CC7D6"/>
    <w:lvl w:ilvl="0" w:tplc="6A7CB6B0">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109978E7"/>
    <w:multiLevelType w:val="hybridMultilevel"/>
    <w:tmpl w:val="F82A142A"/>
    <w:lvl w:ilvl="0" w:tplc="04090001">
      <w:start w:val="1"/>
      <w:numFmt w:val="bullet"/>
      <w:lvlText w:val=""/>
      <w:lvlJc w:val="left"/>
      <w:pPr>
        <w:ind w:left="1138" w:hanging="360"/>
      </w:pPr>
      <w:rPr>
        <w:rFonts w:ascii="Symbol" w:hAnsi="Symbo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4">
    <w:nsid w:val="1394422A"/>
    <w:multiLevelType w:val="hybridMultilevel"/>
    <w:tmpl w:val="ADD2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9B0D8D"/>
    <w:multiLevelType w:val="hybridMultilevel"/>
    <w:tmpl w:val="EBCCB144"/>
    <w:lvl w:ilvl="0" w:tplc="49D04720">
      <w:start w:val="1"/>
      <w:numFmt w:val="lowerLetter"/>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6">
    <w:nsid w:val="1FBD5894"/>
    <w:multiLevelType w:val="hybridMultilevel"/>
    <w:tmpl w:val="2786ADC4"/>
    <w:lvl w:ilvl="0" w:tplc="0FC693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20B45F34"/>
    <w:multiLevelType w:val="hybridMultilevel"/>
    <w:tmpl w:val="158E5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22461C15"/>
    <w:multiLevelType w:val="hybridMultilevel"/>
    <w:tmpl w:val="E11EB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8B6326"/>
    <w:multiLevelType w:val="hybridMultilevel"/>
    <w:tmpl w:val="D03AE83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nsid w:val="3BF56AED"/>
    <w:multiLevelType w:val="hybridMultilevel"/>
    <w:tmpl w:val="A5AC4862"/>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49FE627A"/>
    <w:multiLevelType w:val="hybridMultilevel"/>
    <w:tmpl w:val="7A8E2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2C60AE"/>
    <w:multiLevelType w:val="hybridMultilevel"/>
    <w:tmpl w:val="FB2EC7E4"/>
    <w:lvl w:ilvl="0" w:tplc="0FC693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71EC3851"/>
    <w:multiLevelType w:val="hybridMultilevel"/>
    <w:tmpl w:val="4FC49D0A"/>
    <w:lvl w:ilvl="0" w:tplc="0409000B">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75907161"/>
    <w:multiLevelType w:val="hybridMultilevel"/>
    <w:tmpl w:val="C0CA80B6"/>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7FB51FF7"/>
    <w:multiLevelType w:val="hybridMultilevel"/>
    <w:tmpl w:val="E68886D2"/>
    <w:lvl w:ilvl="0" w:tplc="04090001">
      <w:start w:val="1"/>
      <w:numFmt w:val="bullet"/>
      <w:lvlText w:val=""/>
      <w:lvlJc w:val="left"/>
      <w:pPr>
        <w:ind w:left="1138" w:hanging="360"/>
      </w:pPr>
      <w:rPr>
        <w:rFonts w:ascii="Symbol" w:hAnsi="Symbo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num w:numId="1">
    <w:abstractNumId w:val="7"/>
  </w:num>
  <w:num w:numId="2">
    <w:abstractNumId w:val="7"/>
  </w:num>
  <w:num w:numId="3">
    <w:abstractNumId w:val="4"/>
  </w:num>
  <w:num w:numId="4">
    <w:abstractNumId w:val="6"/>
  </w:num>
  <w:num w:numId="5">
    <w:abstractNumId w:val="11"/>
  </w:num>
  <w:num w:numId="6">
    <w:abstractNumId w:val="12"/>
  </w:num>
  <w:num w:numId="7">
    <w:abstractNumId w:val="9"/>
  </w:num>
  <w:num w:numId="8">
    <w:abstractNumId w:val="8"/>
  </w:num>
  <w:num w:numId="9">
    <w:abstractNumId w:val="5"/>
  </w:num>
  <w:num w:numId="10">
    <w:abstractNumId w:val="15"/>
  </w:num>
  <w:num w:numId="11">
    <w:abstractNumId w:val="2"/>
  </w:num>
  <w:num w:numId="12">
    <w:abstractNumId w:val="14"/>
  </w:num>
  <w:num w:numId="13">
    <w:abstractNumId w:val="3"/>
  </w:num>
  <w:num w:numId="14">
    <w:abstractNumId w:val="13"/>
  </w:num>
  <w:num w:numId="15">
    <w:abstractNumId w:val="10"/>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09E"/>
    <w:rsid w:val="00015499"/>
    <w:rsid w:val="0003159C"/>
    <w:rsid w:val="00042C63"/>
    <w:rsid w:val="00057A11"/>
    <w:rsid w:val="00076CE1"/>
    <w:rsid w:val="00087FDB"/>
    <w:rsid w:val="000A510C"/>
    <w:rsid w:val="000D7463"/>
    <w:rsid w:val="001043BA"/>
    <w:rsid w:val="0013064C"/>
    <w:rsid w:val="00130BB7"/>
    <w:rsid w:val="001526BD"/>
    <w:rsid w:val="00164F6F"/>
    <w:rsid w:val="00174C17"/>
    <w:rsid w:val="001A36A0"/>
    <w:rsid w:val="001A5DAE"/>
    <w:rsid w:val="001A674D"/>
    <w:rsid w:val="001B1352"/>
    <w:rsid w:val="00220462"/>
    <w:rsid w:val="0024030E"/>
    <w:rsid w:val="00247468"/>
    <w:rsid w:val="002A22D0"/>
    <w:rsid w:val="002B2167"/>
    <w:rsid w:val="00327DD7"/>
    <w:rsid w:val="00357D3D"/>
    <w:rsid w:val="0037321B"/>
    <w:rsid w:val="003859F2"/>
    <w:rsid w:val="003A4D5C"/>
    <w:rsid w:val="003C1947"/>
    <w:rsid w:val="003C1CE0"/>
    <w:rsid w:val="003C2156"/>
    <w:rsid w:val="003E0718"/>
    <w:rsid w:val="003E4ECD"/>
    <w:rsid w:val="003E503B"/>
    <w:rsid w:val="003E76A8"/>
    <w:rsid w:val="00407E9D"/>
    <w:rsid w:val="004333D3"/>
    <w:rsid w:val="00446D63"/>
    <w:rsid w:val="004471DD"/>
    <w:rsid w:val="00450267"/>
    <w:rsid w:val="00474C92"/>
    <w:rsid w:val="00475DAE"/>
    <w:rsid w:val="004D7965"/>
    <w:rsid w:val="004F5A13"/>
    <w:rsid w:val="00501323"/>
    <w:rsid w:val="00542C80"/>
    <w:rsid w:val="005A4FE6"/>
    <w:rsid w:val="005A558E"/>
    <w:rsid w:val="005C7617"/>
    <w:rsid w:val="005D0621"/>
    <w:rsid w:val="005D0CAC"/>
    <w:rsid w:val="005D2576"/>
    <w:rsid w:val="005D51E4"/>
    <w:rsid w:val="005E0C06"/>
    <w:rsid w:val="005F7F58"/>
    <w:rsid w:val="006311CE"/>
    <w:rsid w:val="00645F77"/>
    <w:rsid w:val="00654388"/>
    <w:rsid w:val="006632D1"/>
    <w:rsid w:val="00672355"/>
    <w:rsid w:val="00673F8C"/>
    <w:rsid w:val="006848F8"/>
    <w:rsid w:val="00697B1D"/>
    <w:rsid w:val="006A1D81"/>
    <w:rsid w:val="006B434E"/>
    <w:rsid w:val="006B64CB"/>
    <w:rsid w:val="006C5C13"/>
    <w:rsid w:val="006C7E86"/>
    <w:rsid w:val="006E46FE"/>
    <w:rsid w:val="007528C3"/>
    <w:rsid w:val="00761713"/>
    <w:rsid w:val="00773389"/>
    <w:rsid w:val="00783E9F"/>
    <w:rsid w:val="007A09AE"/>
    <w:rsid w:val="007D18DC"/>
    <w:rsid w:val="007E7F39"/>
    <w:rsid w:val="007F21C7"/>
    <w:rsid w:val="007F666A"/>
    <w:rsid w:val="007F6A07"/>
    <w:rsid w:val="008009DA"/>
    <w:rsid w:val="008150A4"/>
    <w:rsid w:val="0082441A"/>
    <w:rsid w:val="00824BD0"/>
    <w:rsid w:val="00835F09"/>
    <w:rsid w:val="00864AF8"/>
    <w:rsid w:val="008876DE"/>
    <w:rsid w:val="008F0714"/>
    <w:rsid w:val="00915E55"/>
    <w:rsid w:val="009235E6"/>
    <w:rsid w:val="00973EAC"/>
    <w:rsid w:val="00976C55"/>
    <w:rsid w:val="0098359B"/>
    <w:rsid w:val="009A609E"/>
    <w:rsid w:val="009D12F4"/>
    <w:rsid w:val="009E791B"/>
    <w:rsid w:val="00A1203F"/>
    <w:rsid w:val="00A463CB"/>
    <w:rsid w:val="00A73597"/>
    <w:rsid w:val="00AB5CDE"/>
    <w:rsid w:val="00AB72C4"/>
    <w:rsid w:val="00AD0B24"/>
    <w:rsid w:val="00AF5FEC"/>
    <w:rsid w:val="00B035CF"/>
    <w:rsid w:val="00B13A2C"/>
    <w:rsid w:val="00B14AAD"/>
    <w:rsid w:val="00B20301"/>
    <w:rsid w:val="00B45AE6"/>
    <w:rsid w:val="00B60287"/>
    <w:rsid w:val="00B620F8"/>
    <w:rsid w:val="00B65739"/>
    <w:rsid w:val="00B6667E"/>
    <w:rsid w:val="00B7694A"/>
    <w:rsid w:val="00BA7B23"/>
    <w:rsid w:val="00BC070A"/>
    <w:rsid w:val="00BF1B12"/>
    <w:rsid w:val="00BF5ED9"/>
    <w:rsid w:val="00BF7673"/>
    <w:rsid w:val="00C00063"/>
    <w:rsid w:val="00C11A0B"/>
    <w:rsid w:val="00C21B83"/>
    <w:rsid w:val="00C40BBC"/>
    <w:rsid w:val="00C6279A"/>
    <w:rsid w:val="00C7126B"/>
    <w:rsid w:val="00C80DE4"/>
    <w:rsid w:val="00C815DE"/>
    <w:rsid w:val="00C84B4D"/>
    <w:rsid w:val="00C91001"/>
    <w:rsid w:val="00CC4B72"/>
    <w:rsid w:val="00CC7999"/>
    <w:rsid w:val="00CD0CBF"/>
    <w:rsid w:val="00CF48FC"/>
    <w:rsid w:val="00D53E63"/>
    <w:rsid w:val="00D6554D"/>
    <w:rsid w:val="00D663EE"/>
    <w:rsid w:val="00D96FB9"/>
    <w:rsid w:val="00DB6410"/>
    <w:rsid w:val="00DC5853"/>
    <w:rsid w:val="00DF18C6"/>
    <w:rsid w:val="00DF26A5"/>
    <w:rsid w:val="00E04440"/>
    <w:rsid w:val="00E1018A"/>
    <w:rsid w:val="00E101E0"/>
    <w:rsid w:val="00E41129"/>
    <w:rsid w:val="00E51E83"/>
    <w:rsid w:val="00E76A4E"/>
    <w:rsid w:val="00E915E4"/>
    <w:rsid w:val="00EA0265"/>
    <w:rsid w:val="00EA50CE"/>
    <w:rsid w:val="00EB7B6B"/>
    <w:rsid w:val="00EE4DAB"/>
    <w:rsid w:val="00EF1F98"/>
    <w:rsid w:val="00F12050"/>
    <w:rsid w:val="00F27FFB"/>
    <w:rsid w:val="00F46A6B"/>
    <w:rsid w:val="00F51EFC"/>
    <w:rsid w:val="00F7523D"/>
    <w:rsid w:val="00F763EF"/>
    <w:rsid w:val="00F8451D"/>
    <w:rsid w:val="00FA6855"/>
    <w:rsid w:val="00FC7825"/>
    <w:rsid w:val="00FD0A85"/>
    <w:rsid w:val="00FE36BF"/>
    <w:rsid w:val="00FE43BB"/>
    <w:rsid w:val="00FF5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9E"/>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321B"/>
    <w:rPr>
      <w:color w:val="0000FF" w:themeColor="hyperlink"/>
      <w:u w:val="single"/>
    </w:rPr>
  </w:style>
  <w:style w:type="character" w:styleId="FollowedHyperlink">
    <w:name w:val="FollowedHyperlink"/>
    <w:basedOn w:val="DefaultParagraphFont"/>
    <w:uiPriority w:val="99"/>
    <w:semiHidden/>
    <w:unhideWhenUsed/>
    <w:rsid w:val="001A36A0"/>
    <w:rPr>
      <w:color w:val="800080" w:themeColor="followedHyperlink"/>
      <w:u w:val="single"/>
    </w:rPr>
  </w:style>
  <w:style w:type="paragraph" w:styleId="ListParagraph">
    <w:name w:val="List Paragraph"/>
    <w:basedOn w:val="Normal"/>
    <w:uiPriority w:val="34"/>
    <w:qFormat/>
    <w:rsid w:val="00E76A4E"/>
    <w:pPr>
      <w:ind w:left="720"/>
      <w:contextualSpacing/>
    </w:pPr>
    <w:rPr>
      <w:rFonts w:asciiTheme="minorHAnsi" w:eastAsiaTheme="minorEastAsia" w:hAnsiTheme="minorHAnsi"/>
    </w:rPr>
  </w:style>
  <w:style w:type="paragraph" w:styleId="BalloonText">
    <w:name w:val="Balloon Text"/>
    <w:basedOn w:val="Normal"/>
    <w:link w:val="BalloonTextChar"/>
    <w:uiPriority w:val="99"/>
    <w:semiHidden/>
    <w:unhideWhenUsed/>
    <w:rsid w:val="00C6279A"/>
    <w:rPr>
      <w:rFonts w:ascii="Tahoma" w:hAnsi="Tahoma" w:cs="Tahoma"/>
      <w:sz w:val="16"/>
      <w:szCs w:val="16"/>
    </w:rPr>
  </w:style>
  <w:style w:type="character" w:customStyle="1" w:styleId="BalloonTextChar">
    <w:name w:val="Balloon Text Char"/>
    <w:basedOn w:val="DefaultParagraphFont"/>
    <w:link w:val="BalloonText"/>
    <w:uiPriority w:val="99"/>
    <w:semiHidden/>
    <w:rsid w:val="00C6279A"/>
    <w:rPr>
      <w:rFonts w:ascii="Tahoma" w:hAnsi="Tahoma" w:cs="Tahoma"/>
      <w:sz w:val="16"/>
      <w:szCs w:val="16"/>
    </w:rPr>
  </w:style>
  <w:style w:type="character" w:customStyle="1" w:styleId="st">
    <w:name w:val="st"/>
    <w:basedOn w:val="DefaultParagraphFont"/>
    <w:rsid w:val="00B65739"/>
  </w:style>
  <w:style w:type="character" w:styleId="Emphasis">
    <w:name w:val="Emphasis"/>
    <w:basedOn w:val="DefaultParagraphFont"/>
    <w:uiPriority w:val="20"/>
    <w:qFormat/>
    <w:rsid w:val="00B65739"/>
    <w:rPr>
      <w:i/>
      <w:iCs/>
    </w:rPr>
  </w:style>
  <w:style w:type="paragraph" w:styleId="FootnoteText">
    <w:name w:val="footnote text"/>
    <w:basedOn w:val="Normal"/>
    <w:link w:val="FootnoteTextChar"/>
    <w:uiPriority w:val="99"/>
    <w:semiHidden/>
    <w:unhideWhenUsed/>
    <w:rsid w:val="001A674D"/>
    <w:rPr>
      <w:sz w:val="20"/>
      <w:szCs w:val="20"/>
    </w:rPr>
  </w:style>
  <w:style w:type="character" w:customStyle="1" w:styleId="FootnoteTextChar">
    <w:name w:val="Footnote Text Char"/>
    <w:basedOn w:val="DefaultParagraphFont"/>
    <w:link w:val="FootnoteText"/>
    <w:uiPriority w:val="99"/>
    <w:semiHidden/>
    <w:rsid w:val="001A674D"/>
    <w:rPr>
      <w:rFonts w:ascii="Times New Roman" w:hAnsi="Times New Roman"/>
      <w:sz w:val="20"/>
      <w:szCs w:val="20"/>
    </w:rPr>
  </w:style>
  <w:style w:type="character" w:styleId="FootnoteReference">
    <w:name w:val="footnote reference"/>
    <w:basedOn w:val="DefaultParagraphFont"/>
    <w:uiPriority w:val="99"/>
    <w:semiHidden/>
    <w:unhideWhenUsed/>
    <w:rsid w:val="001A674D"/>
    <w:rPr>
      <w:vertAlign w:val="superscript"/>
    </w:rPr>
  </w:style>
  <w:style w:type="paragraph" w:styleId="Header">
    <w:name w:val="header"/>
    <w:basedOn w:val="Normal"/>
    <w:link w:val="HeaderChar"/>
    <w:uiPriority w:val="99"/>
    <w:unhideWhenUsed/>
    <w:rsid w:val="00327DD7"/>
    <w:pPr>
      <w:tabs>
        <w:tab w:val="center" w:pos="4680"/>
        <w:tab w:val="right" w:pos="9360"/>
      </w:tabs>
    </w:pPr>
  </w:style>
  <w:style w:type="character" w:customStyle="1" w:styleId="HeaderChar">
    <w:name w:val="Header Char"/>
    <w:basedOn w:val="DefaultParagraphFont"/>
    <w:link w:val="Header"/>
    <w:uiPriority w:val="99"/>
    <w:rsid w:val="00327DD7"/>
    <w:rPr>
      <w:rFonts w:ascii="Times New Roman" w:hAnsi="Times New Roman"/>
      <w:sz w:val="24"/>
      <w:szCs w:val="24"/>
    </w:rPr>
  </w:style>
  <w:style w:type="paragraph" w:styleId="Footer">
    <w:name w:val="footer"/>
    <w:basedOn w:val="Normal"/>
    <w:link w:val="FooterChar"/>
    <w:uiPriority w:val="99"/>
    <w:unhideWhenUsed/>
    <w:rsid w:val="00327DD7"/>
    <w:pPr>
      <w:tabs>
        <w:tab w:val="center" w:pos="4680"/>
        <w:tab w:val="right" w:pos="9360"/>
      </w:tabs>
    </w:pPr>
  </w:style>
  <w:style w:type="character" w:customStyle="1" w:styleId="FooterChar">
    <w:name w:val="Footer Char"/>
    <w:basedOn w:val="DefaultParagraphFont"/>
    <w:link w:val="Footer"/>
    <w:uiPriority w:val="99"/>
    <w:rsid w:val="00327DD7"/>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9E"/>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321B"/>
    <w:rPr>
      <w:color w:val="0000FF" w:themeColor="hyperlink"/>
      <w:u w:val="single"/>
    </w:rPr>
  </w:style>
  <w:style w:type="character" w:styleId="FollowedHyperlink">
    <w:name w:val="FollowedHyperlink"/>
    <w:basedOn w:val="DefaultParagraphFont"/>
    <w:uiPriority w:val="99"/>
    <w:semiHidden/>
    <w:unhideWhenUsed/>
    <w:rsid w:val="001A36A0"/>
    <w:rPr>
      <w:color w:val="800080" w:themeColor="followedHyperlink"/>
      <w:u w:val="single"/>
    </w:rPr>
  </w:style>
  <w:style w:type="paragraph" w:styleId="ListParagraph">
    <w:name w:val="List Paragraph"/>
    <w:basedOn w:val="Normal"/>
    <w:uiPriority w:val="34"/>
    <w:qFormat/>
    <w:rsid w:val="00E76A4E"/>
    <w:pPr>
      <w:ind w:left="720"/>
      <w:contextualSpacing/>
    </w:pPr>
    <w:rPr>
      <w:rFonts w:asciiTheme="minorHAnsi" w:eastAsiaTheme="minorEastAsia" w:hAnsiTheme="minorHAnsi"/>
    </w:rPr>
  </w:style>
  <w:style w:type="paragraph" w:styleId="BalloonText">
    <w:name w:val="Balloon Text"/>
    <w:basedOn w:val="Normal"/>
    <w:link w:val="BalloonTextChar"/>
    <w:uiPriority w:val="99"/>
    <w:semiHidden/>
    <w:unhideWhenUsed/>
    <w:rsid w:val="00C6279A"/>
    <w:rPr>
      <w:rFonts w:ascii="Tahoma" w:hAnsi="Tahoma" w:cs="Tahoma"/>
      <w:sz w:val="16"/>
      <w:szCs w:val="16"/>
    </w:rPr>
  </w:style>
  <w:style w:type="character" w:customStyle="1" w:styleId="BalloonTextChar">
    <w:name w:val="Balloon Text Char"/>
    <w:basedOn w:val="DefaultParagraphFont"/>
    <w:link w:val="BalloonText"/>
    <w:uiPriority w:val="99"/>
    <w:semiHidden/>
    <w:rsid w:val="00C6279A"/>
    <w:rPr>
      <w:rFonts w:ascii="Tahoma" w:hAnsi="Tahoma" w:cs="Tahoma"/>
      <w:sz w:val="16"/>
      <w:szCs w:val="16"/>
    </w:rPr>
  </w:style>
  <w:style w:type="character" w:customStyle="1" w:styleId="st">
    <w:name w:val="st"/>
    <w:basedOn w:val="DefaultParagraphFont"/>
    <w:rsid w:val="00B65739"/>
  </w:style>
  <w:style w:type="character" w:styleId="Emphasis">
    <w:name w:val="Emphasis"/>
    <w:basedOn w:val="DefaultParagraphFont"/>
    <w:uiPriority w:val="20"/>
    <w:qFormat/>
    <w:rsid w:val="00B65739"/>
    <w:rPr>
      <w:i/>
      <w:iCs/>
    </w:rPr>
  </w:style>
  <w:style w:type="paragraph" w:styleId="FootnoteText">
    <w:name w:val="footnote text"/>
    <w:basedOn w:val="Normal"/>
    <w:link w:val="FootnoteTextChar"/>
    <w:uiPriority w:val="99"/>
    <w:semiHidden/>
    <w:unhideWhenUsed/>
    <w:rsid w:val="001A674D"/>
    <w:rPr>
      <w:sz w:val="20"/>
      <w:szCs w:val="20"/>
    </w:rPr>
  </w:style>
  <w:style w:type="character" w:customStyle="1" w:styleId="FootnoteTextChar">
    <w:name w:val="Footnote Text Char"/>
    <w:basedOn w:val="DefaultParagraphFont"/>
    <w:link w:val="FootnoteText"/>
    <w:uiPriority w:val="99"/>
    <w:semiHidden/>
    <w:rsid w:val="001A674D"/>
    <w:rPr>
      <w:rFonts w:ascii="Times New Roman" w:hAnsi="Times New Roman"/>
      <w:sz w:val="20"/>
      <w:szCs w:val="20"/>
    </w:rPr>
  </w:style>
  <w:style w:type="character" w:styleId="FootnoteReference">
    <w:name w:val="footnote reference"/>
    <w:basedOn w:val="DefaultParagraphFont"/>
    <w:uiPriority w:val="99"/>
    <w:semiHidden/>
    <w:unhideWhenUsed/>
    <w:rsid w:val="001A674D"/>
    <w:rPr>
      <w:vertAlign w:val="superscript"/>
    </w:rPr>
  </w:style>
  <w:style w:type="paragraph" w:styleId="Header">
    <w:name w:val="header"/>
    <w:basedOn w:val="Normal"/>
    <w:link w:val="HeaderChar"/>
    <w:uiPriority w:val="99"/>
    <w:unhideWhenUsed/>
    <w:rsid w:val="00327DD7"/>
    <w:pPr>
      <w:tabs>
        <w:tab w:val="center" w:pos="4680"/>
        <w:tab w:val="right" w:pos="9360"/>
      </w:tabs>
    </w:pPr>
  </w:style>
  <w:style w:type="character" w:customStyle="1" w:styleId="HeaderChar">
    <w:name w:val="Header Char"/>
    <w:basedOn w:val="DefaultParagraphFont"/>
    <w:link w:val="Header"/>
    <w:uiPriority w:val="99"/>
    <w:rsid w:val="00327DD7"/>
    <w:rPr>
      <w:rFonts w:ascii="Times New Roman" w:hAnsi="Times New Roman"/>
      <w:sz w:val="24"/>
      <w:szCs w:val="24"/>
    </w:rPr>
  </w:style>
  <w:style w:type="paragraph" w:styleId="Footer">
    <w:name w:val="footer"/>
    <w:basedOn w:val="Normal"/>
    <w:link w:val="FooterChar"/>
    <w:uiPriority w:val="99"/>
    <w:unhideWhenUsed/>
    <w:rsid w:val="00327DD7"/>
    <w:pPr>
      <w:tabs>
        <w:tab w:val="center" w:pos="4680"/>
        <w:tab w:val="right" w:pos="9360"/>
      </w:tabs>
    </w:pPr>
  </w:style>
  <w:style w:type="character" w:customStyle="1" w:styleId="FooterChar">
    <w:name w:val="Footer Char"/>
    <w:basedOn w:val="DefaultParagraphFont"/>
    <w:link w:val="Footer"/>
    <w:uiPriority w:val="99"/>
    <w:rsid w:val="00327DD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724044">
      <w:bodyDiv w:val="1"/>
      <w:marLeft w:val="0"/>
      <w:marRight w:val="0"/>
      <w:marTop w:val="0"/>
      <w:marBottom w:val="0"/>
      <w:divBdr>
        <w:top w:val="none" w:sz="0" w:space="0" w:color="auto"/>
        <w:left w:val="none" w:sz="0" w:space="0" w:color="auto"/>
        <w:bottom w:val="none" w:sz="0" w:space="0" w:color="auto"/>
        <w:right w:val="none" w:sz="0" w:space="0" w:color="auto"/>
      </w:divBdr>
    </w:div>
    <w:div w:id="633826288">
      <w:bodyDiv w:val="1"/>
      <w:marLeft w:val="0"/>
      <w:marRight w:val="0"/>
      <w:marTop w:val="0"/>
      <w:marBottom w:val="0"/>
      <w:divBdr>
        <w:top w:val="none" w:sz="0" w:space="0" w:color="auto"/>
        <w:left w:val="none" w:sz="0" w:space="0" w:color="auto"/>
        <w:bottom w:val="none" w:sz="0" w:space="0" w:color="auto"/>
        <w:right w:val="none" w:sz="0" w:space="0" w:color="auto"/>
      </w:divBdr>
    </w:div>
    <w:div w:id="926159267">
      <w:bodyDiv w:val="1"/>
      <w:marLeft w:val="0"/>
      <w:marRight w:val="0"/>
      <w:marTop w:val="0"/>
      <w:marBottom w:val="0"/>
      <w:divBdr>
        <w:top w:val="none" w:sz="0" w:space="0" w:color="auto"/>
        <w:left w:val="none" w:sz="0" w:space="0" w:color="auto"/>
        <w:bottom w:val="none" w:sz="0" w:space="0" w:color="auto"/>
        <w:right w:val="none" w:sz="0" w:space="0" w:color="auto"/>
      </w:divBdr>
      <w:divsChild>
        <w:div w:id="1355382337">
          <w:marLeft w:val="0"/>
          <w:marRight w:val="0"/>
          <w:marTop w:val="0"/>
          <w:marBottom w:val="0"/>
          <w:divBdr>
            <w:top w:val="none" w:sz="0" w:space="0" w:color="auto"/>
            <w:left w:val="none" w:sz="0" w:space="0" w:color="auto"/>
            <w:bottom w:val="none" w:sz="0" w:space="0" w:color="auto"/>
            <w:right w:val="none" w:sz="0" w:space="0" w:color="auto"/>
          </w:divBdr>
        </w:div>
        <w:div w:id="758135083">
          <w:marLeft w:val="0"/>
          <w:marRight w:val="0"/>
          <w:marTop w:val="0"/>
          <w:marBottom w:val="0"/>
          <w:divBdr>
            <w:top w:val="none" w:sz="0" w:space="0" w:color="auto"/>
            <w:left w:val="none" w:sz="0" w:space="0" w:color="auto"/>
            <w:bottom w:val="none" w:sz="0" w:space="0" w:color="auto"/>
            <w:right w:val="none" w:sz="0" w:space="0" w:color="auto"/>
          </w:divBdr>
        </w:div>
      </w:divsChild>
    </w:div>
    <w:div w:id="1156804969">
      <w:bodyDiv w:val="1"/>
      <w:marLeft w:val="0"/>
      <w:marRight w:val="0"/>
      <w:marTop w:val="0"/>
      <w:marBottom w:val="0"/>
      <w:divBdr>
        <w:top w:val="none" w:sz="0" w:space="0" w:color="auto"/>
        <w:left w:val="none" w:sz="0" w:space="0" w:color="auto"/>
        <w:bottom w:val="none" w:sz="0" w:space="0" w:color="auto"/>
        <w:right w:val="none" w:sz="0" w:space="0" w:color="auto"/>
      </w:divBdr>
      <w:divsChild>
        <w:div w:id="355273544">
          <w:marLeft w:val="0"/>
          <w:marRight w:val="0"/>
          <w:marTop w:val="0"/>
          <w:marBottom w:val="0"/>
          <w:divBdr>
            <w:top w:val="none" w:sz="0" w:space="0" w:color="auto"/>
            <w:left w:val="none" w:sz="0" w:space="0" w:color="auto"/>
            <w:bottom w:val="none" w:sz="0" w:space="0" w:color="auto"/>
            <w:right w:val="none" w:sz="0" w:space="0" w:color="auto"/>
          </w:divBdr>
        </w:div>
        <w:div w:id="1730810776">
          <w:marLeft w:val="0"/>
          <w:marRight w:val="0"/>
          <w:marTop w:val="0"/>
          <w:marBottom w:val="0"/>
          <w:divBdr>
            <w:top w:val="none" w:sz="0" w:space="0" w:color="auto"/>
            <w:left w:val="none" w:sz="0" w:space="0" w:color="auto"/>
            <w:bottom w:val="none" w:sz="0" w:space="0" w:color="auto"/>
            <w:right w:val="none" w:sz="0" w:space="0" w:color="auto"/>
          </w:divBdr>
        </w:div>
        <w:div w:id="1021542119">
          <w:marLeft w:val="0"/>
          <w:marRight w:val="0"/>
          <w:marTop w:val="0"/>
          <w:marBottom w:val="0"/>
          <w:divBdr>
            <w:top w:val="none" w:sz="0" w:space="0" w:color="auto"/>
            <w:left w:val="none" w:sz="0" w:space="0" w:color="auto"/>
            <w:bottom w:val="none" w:sz="0" w:space="0" w:color="auto"/>
            <w:right w:val="none" w:sz="0" w:space="0" w:color="auto"/>
          </w:divBdr>
        </w:div>
        <w:div w:id="317811910">
          <w:marLeft w:val="0"/>
          <w:marRight w:val="0"/>
          <w:marTop w:val="0"/>
          <w:marBottom w:val="0"/>
          <w:divBdr>
            <w:top w:val="none" w:sz="0" w:space="0" w:color="auto"/>
            <w:left w:val="none" w:sz="0" w:space="0" w:color="auto"/>
            <w:bottom w:val="none" w:sz="0" w:space="0" w:color="auto"/>
            <w:right w:val="none" w:sz="0" w:space="0" w:color="auto"/>
          </w:divBdr>
        </w:div>
        <w:div w:id="581836529">
          <w:marLeft w:val="0"/>
          <w:marRight w:val="0"/>
          <w:marTop w:val="0"/>
          <w:marBottom w:val="0"/>
          <w:divBdr>
            <w:top w:val="none" w:sz="0" w:space="0" w:color="auto"/>
            <w:left w:val="none" w:sz="0" w:space="0" w:color="auto"/>
            <w:bottom w:val="none" w:sz="0" w:space="0" w:color="auto"/>
            <w:right w:val="none" w:sz="0" w:space="0" w:color="auto"/>
          </w:divBdr>
        </w:div>
        <w:div w:id="523398594">
          <w:marLeft w:val="0"/>
          <w:marRight w:val="0"/>
          <w:marTop w:val="0"/>
          <w:marBottom w:val="0"/>
          <w:divBdr>
            <w:top w:val="none" w:sz="0" w:space="0" w:color="auto"/>
            <w:left w:val="none" w:sz="0" w:space="0" w:color="auto"/>
            <w:bottom w:val="none" w:sz="0" w:space="0" w:color="auto"/>
            <w:right w:val="none" w:sz="0" w:space="0" w:color="auto"/>
          </w:divBdr>
        </w:div>
        <w:div w:id="1245871564">
          <w:marLeft w:val="0"/>
          <w:marRight w:val="0"/>
          <w:marTop w:val="0"/>
          <w:marBottom w:val="0"/>
          <w:divBdr>
            <w:top w:val="none" w:sz="0" w:space="0" w:color="auto"/>
            <w:left w:val="none" w:sz="0" w:space="0" w:color="auto"/>
            <w:bottom w:val="none" w:sz="0" w:space="0" w:color="auto"/>
            <w:right w:val="none" w:sz="0" w:space="0" w:color="auto"/>
          </w:divBdr>
        </w:div>
        <w:div w:id="608583813">
          <w:marLeft w:val="0"/>
          <w:marRight w:val="0"/>
          <w:marTop w:val="0"/>
          <w:marBottom w:val="0"/>
          <w:divBdr>
            <w:top w:val="none" w:sz="0" w:space="0" w:color="auto"/>
            <w:left w:val="none" w:sz="0" w:space="0" w:color="auto"/>
            <w:bottom w:val="none" w:sz="0" w:space="0" w:color="auto"/>
            <w:right w:val="none" w:sz="0" w:space="0" w:color="auto"/>
          </w:divBdr>
        </w:div>
        <w:div w:id="1111971974">
          <w:marLeft w:val="0"/>
          <w:marRight w:val="0"/>
          <w:marTop w:val="0"/>
          <w:marBottom w:val="0"/>
          <w:divBdr>
            <w:top w:val="none" w:sz="0" w:space="0" w:color="auto"/>
            <w:left w:val="none" w:sz="0" w:space="0" w:color="auto"/>
            <w:bottom w:val="none" w:sz="0" w:space="0" w:color="auto"/>
            <w:right w:val="none" w:sz="0" w:space="0" w:color="auto"/>
          </w:divBdr>
        </w:div>
        <w:div w:id="501825018">
          <w:marLeft w:val="0"/>
          <w:marRight w:val="0"/>
          <w:marTop w:val="0"/>
          <w:marBottom w:val="0"/>
          <w:divBdr>
            <w:top w:val="none" w:sz="0" w:space="0" w:color="auto"/>
            <w:left w:val="none" w:sz="0" w:space="0" w:color="auto"/>
            <w:bottom w:val="none" w:sz="0" w:space="0" w:color="auto"/>
            <w:right w:val="none" w:sz="0" w:space="0" w:color="auto"/>
          </w:divBdr>
        </w:div>
      </w:divsChild>
    </w:div>
    <w:div w:id="1441336996">
      <w:bodyDiv w:val="1"/>
      <w:marLeft w:val="0"/>
      <w:marRight w:val="0"/>
      <w:marTop w:val="0"/>
      <w:marBottom w:val="0"/>
      <w:divBdr>
        <w:top w:val="none" w:sz="0" w:space="0" w:color="auto"/>
        <w:left w:val="none" w:sz="0" w:space="0" w:color="auto"/>
        <w:bottom w:val="none" w:sz="0" w:space="0" w:color="auto"/>
        <w:right w:val="none" w:sz="0" w:space="0" w:color="auto"/>
      </w:divBdr>
      <w:divsChild>
        <w:div w:id="852109186">
          <w:marLeft w:val="0"/>
          <w:marRight w:val="0"/>
          <w:marTop w:val="0"/>
          <w:marBottom w:val="0"/>
          <w:divBdr>
            <w:top w:val="none" w:sz="0" w:space="0" w:color="auto"/>
            <w:left w:val="none" w:sz="0" w:space="0" w:color="auto"/>
            <w:bottom w:val="none" w:sz="0" w:space="0" w:color="auto"/>
            <w:right w:val="none" w:sz="0" w:space="0" w:color="auto"/>
          </w:divBdr>
        </w:div>
        <w:div w:id="691493456">
          <w:marLeft w:val="0"/>
          <w:marRight w:val="0"/>
          <w:marTop w:val="0"/>
          <w:marBottom w:val="0"/>
          <w:divBdr>
            <w:top w:val="none" w:sz="0" w:space="0" w:color="auto"/>
            <w:left w:val="none" w:sz="0" w:space="0" w:color="auto"/>
            <w:bottom w:val="none" w:sz="0" w:space="0" w:color="auto"/>
            <w:right w:val="none" w:sz="0" w:space="0" w:color="auto"/>
          </w:divBdr>
        </w:div>
        <w:div w:id="1385986919">
          <w:marLeft w:val="0"/>
          <w:marRight w:val="0"/>
          <w:marTop w:val="0"/>
          <w:marBottom w:val="0"/>
          <w:divBdr>
            <w:top w:val="none" w:sz="0" w:space="0" w:color="auto"/>
            <w:left w:val="none" w:sz="0" w:space="0" w:color="auto"/>
            <w:bottom w:val="none" w:sz="0" w:space="0" w:color="auto"/>
            <w:right w:val="none" w:sz="0" w:space="0" w:color="auto"/>
          </w:divBdr>
        </w:div>
        <w:div w:id="1387529175">
          <w:marLeft w:val="0"/>
          <w:marRight w:val="0"/>
          <w:marTop w:val="0"/>
          <w:marBottom w:val="0"/>
          <w:divBdr>
            <w:top w:val="none" w:sz="0" w:space="0" w:color="auto"/>
            <w:left w:val="none" w:sz="0" w:space="0" w:color="auto"/>
            <w:bottom w:val="none" w:sz="0" w:space="0" w:color="auto"/>
            <w:right w:val="none" w:sz="0" w:space="0" w:color="auto"/>
          </w:divBdr>
        </w:div>
        <w:div w:id="1298874978">
          <w:marLeft w:val="0"/>
          <w:marRight w:val="0"/>
          <w:marTop w:val="0"/>
          <w:marBottom w:val="0"/>
          <w:divBdr>
            <w:top w:val="none" w:sz="0" w:space="0" w:color="auto"/>
            <w:left w:val="none" w:sz="0" w:space="0" w:color="auto"/>
            <w:bottom w:val="none" w:sz="0" w:space="0" w:color="auto"/>
            <w:right w:val="none" w:sz="0" w:space="0" w:color="auto"/>
          </w:divBdr>
        </w:div>
      </w:divsChild>
    </w:div>
    <w:div w:id="1734810550">
      <w:bodyDiv w:val="1"/>
      <w:marLeft w:val="0"/>
      <w:marRight w:val="0"/>
      <w:marTop w:val="0"/>
      <w:marBottom w:val="0"/>
      <w:divBdr>
        <w:top w:val="none" w:sz="0" w:space="0" w:color="auto"/>
        <w:left w:val="none" w:sz="0" w:space="0" w:color="auto"/>
        <w:bottom w:val="none" w:sz="0" w:space="0" w:color="auto"/>
        <w:right w:val="none" w:sz="0" w:space="0" w:color="auto"/>
      </w:divBdr>
      <w:divsChild>
        <w:div w:id="1424298324">
          <w:marLeft w:val="0"/>
          <w:marRight w:val="0"/>
          <w:marTop w:val="0"/>
          <w:marBottom w:val="0"/>
          <w:divBdr>
            <w:top w:val="none" w:sz="0" w:space="0" w:color="auto"/>
            <w:left w:val="none" w:sz="0" w:space="0" w:color="auto"/>
            <w:bottom w:val="none" w:sz="0" w:space="0" w:color="auto"/>
            <w:right w:val="none" w:sz="0" w:space="0" w:color="auto"/>
          </w:divBdr>
        </w:div>
        <w:div w:id="1274704680">
          <w:marLeft w:val="0"/>
          <w:marRight w:val="0"/>
          <w:marTop w:val="0"/>
          <w:marBottom w:val="0"/>
          <w:divBdr>
            <w:top w:val="none" w:sz="0" w:space="0" w:color="auto"/>
            <w:left w:val="none" w:sz="0" w:space="0" w:color="auto"/>
            <w:bottom w:val="none" w:sz="0" w:space="0" w:color="auto"/>
            <w:right w:val="none" w:sz="0" w:space="0" w:color="auto"/>
          </w:divBdr>
        </w:div>
        <w:div w:id="8336903">
          <w:marLeft w:val="0"/>
          <w:marRight w:val="0"/>
          <w:marTop w:val="0"/>
          <w:marBottom w:val="0"/>
          <w:divBdr>
            <w:top w:val="none" w:sz="0" w:space="0" w:color="auto"/>
            <w:left w:val="none" w:sz="0" w:space="0" w:color="auto"/>
            <w:bottom w:val="none" w:sz="0" w:space="0" w:color="auto"/>
            <w:right w:val="none" w:sz="0" w:space="0" w:color="auto"/>
          </w:divBdr>
        </w:div>
        <w:div w:id="1092748220">
          <w:marLeft w:val="0"/>
          <w:marRight w:val="0"/>
          <w:marTop w:val="0"/>
          <w:marBottom w:val="0"/>
          <w:divBdr>
            <w:top w:val="none" w:sz="0" w:space="0" w:color="auto"/>
            <w:left w:val="none" w:sz="0" w:space="0" w:color="auto"/>
            <w:bottom w:val="none" w:sz="0" w:space="0" w:color="auto"/>
            <w:right w:val="none" w:sz="0" w:space="0" w:color="auto"/>
          </w:divBdr>
        </w:div>
        <w:div w:id="977875685">
          <w:marLeft w:val="0"/>
          <w:marRight w:val="0"/>
          <w:marTop w:val="0"/>
          <w:marBottom w:val="0"/>
          <w:divBdr>
            <w:top w:val="none" w:sz="0" w:space="0" w:color="auto"/>
            <w:left w:val="none" w:sz="0" w:space="0" w:color="auto"/>
            <w:bottom w:val="none" w:sz="0" w:space="0" w:color="auto"/>
            <w:right w:val="none" w:sz="0" w:space="0" w:color="auto"/>
          </w:divBdr>
        </w:div>
        <w:div w:id="239481798">
          <w:marLeft w:val="0"/>
          <w:marRight w:val="0"/>
          <w:marTop w:val="0"/>
          <w:marBottom w:val="0"/>
          <w:divBdr>
            <w:top w:val="none" w:sz="0" w:space="0" w:color="auto"/>
            <w:left w:val="none" w:sz="0" w:space="0" w:color="auto"/>
            <w:bottom w:val="none" w:sz="0" w:space="0" w:color="auto"/>
            <w:right w:val="none" w:sz="0" w:space="0" w:color="auto"/>
          </w:divBdr>
        </w:div>
        <w:div w:id="1247228888">
          <w:marLeft w:val="0"/>
          <w:marRight w:val="0"/>
          <w:marTop w:val="0"/>
          <w:marBottom w:val="0"/>
          <w:divBdr>
            <w:top w:val="none" w:sz="0" w:space="0" w:color="auto"/>
            <w:left w:val="none" w:sz="0" w:space="0" w:color="auto"/>
            <w:bottom w:val="none" w:sz="0" w:space="0" w:color="auto"/>
            <w:right w:val="none" w:sz="0" w:space="0" w:color="auto"/>
          </w:divBdr>
        </w:div>
        <w:div w:id="1807041638">
          <w:marLeft w:val="0"/>
          <w:marRight w:val="0"/>
          <w:marTop w:val="0"/>
          <w:marBottom w:val="0"/>
          <w:divBdr>
            <w:top w:val="none" w:sz="0" w:space="0" w:color="auto"/>
            <w:left w:val="none" w:sz="0" w:space="0" w:color="auto"/>
            <w:bottom w:val="none" w:sz="0" w:space="0" w:color="auto"/>
            <w:right w:val="none" w:sz="0" w:space="0" w:color="auto"/>
          </w:divBdr>
        </w:div>
        <w:div w:id="275447965">
          <w:marLeft w:val="0"/>
          <w:marRight w:val="0"/>
          <w:marTop w:val="0"/>
          <w:marBottom w:val="0"/>
          <w:divBdr>
            <w:top w:val="none" w:sz="0" w:space="0" w:color="auto"/>
            <w:left w:val="none" w:sz="0" w:space="0" w:color="auto"/>
            <w:bottom w:val="none" w:sz="0" w:space="0" w:color="auto"/>
            <w:right w:val="none" w:sz="0" w:space="0" w:color="auto"/>
          </w:divBdr>
        </w:div>
        <w:div w:id="282662508">
          <w:marLeft w:val="0"/>
          <w:marRight w:val="0"/>
          <w:marTop w:val="0"/>
          <w:marBottom w:val="0"/>
          <w:divBdr>
            <w:top w:val="none" w:sz="0" w:space="0" w:color="auto"/>
            <w:left w:val="none" w:sz="0" w:space="0" w:color="auto"/>
            <w:bottom w:val="none" w:sz="0" w:space="0" w:color="auto"/>
            <w:right w:val="none" w:sz="0" w:space="0" w:color="auto"/>
          </w:divBdr>
        </w:div>
        <w:div w:id="695540668">
          <w:marLeft w:val="0"/>
          <w:marRight w:val="0"/>
          <w:marTop w:val="0"/>
          <w:marBottom w:val="0"/>
          <w:divBdr>
            <w:top w:val="none" w:sz="0" w:space="0" w:color="auto"/>
            <w:left w:val="none" w:sz="0" w:space="0" w:color="auto"/>
            <w:bottom w:val="none" w:sz="0" w:space="0" w:color="auto"/>
            <w:right w:val="none" w:sz="0" w:space="0" w:color="auto"/>
          </w:divBdr>
        </w:div>
        <w:div w:id="289701427">
          <w:marLeft w:val="0"/>
          <w:marRight w:val="0"/>
          <w:marTop w:val="0"/>
          <w:marBottom w:val="0"/>
          <w:divBdr>
            <w:top w:val="none" w:sz="0" w:space="0" w:color="auto"/>
            <w:left w:val="none" w:sz="0" w:space="0" w:color="auto"/>
            <w:bottom w:val="none" w:sz="0" w:space="0" w:color="auto"/>
            <w:right w:val="none" w:sz="0" w:space="0" w:color="auto"/>
          </w:divBdr>
        </w:div>
        <w:div w:id="544217346">
          <w:marLeft w:val="0"/>
          <w:marRight w:val="0"/>
          <w:marTop w:val="0"/>
          <w:marBottom w:val="0"/>
          <w:divBdr>
            <w:top w:val="none" w:sz="0" w:space="0" w:color="auto"/>
            <w:left w:val="none" w:sz="0" w:space="0" w:color="auto"/>
            <w:bottom w:val="none" w:sz="0" w:space="0" w:color="auto"/>
            <w:right w:val="none" w:sz="0" w:space="0" w:color="auto"/>
          </w:divBdr>
        </w:div>
        <w:div w:id="1948266345">
          <w:marLeft w:val="0"/>
          <w:marRight w:val="0"/>
          <w:marTop w:val="0"/>
          <w:marBottom w:val="0"/>
          <w:divBdr>
            <w:top w:val="none" w:sz="0" w:space="0" w:color="auto"/>
            <w:left w:val="none" w:sz="0" w:space="0" w:color="auto"/>
            <w:bottom w:val="none" w:sz="0" w:space="0" w:color="auto"/>
            <w:right w:val="none" w:sz="0" w:space="0" w:color="auto"/>
          </w:divBdr>
        </w:div>
        <w:div w:id="1565876593">
          <w:marLeft w:val="0"/>
          <w:marRight w:val="0"/>
          <w:marTop w:val="0"/>
          <w:marBottom w:val="0"/>
          <w:divBdr>
            <w:top w:val="none" w:sz="0" w:space="0" w:color="auto"/>
            <w:left w:val="none" w:sz="0" w:space="0" w:color="auto"/>
            <w:bottom w:val="none" w:sz="0" w:space="0" w:color="auto"/>
            <w:right w:val="none" w:sz="0" w:space="0" w:color="auto"/>
          </w:divBdr>
        </w:div>
        <w:div w:id="1619488980">
          <w:marLeft w:val="0"/>
          <w:marRight w:val="0"/>
          <w:marTop w:val="0"/>
          <w:marBottom w:val="0"/>
          <w:divBdr>
            <w:top w:val="none" w:sz="0" w:space="0" w:color="auto"/>
            <w:left w:val="none" w:sz="0" w:space="0" w:color="auto"/>
            <w:bottom w:val="none" w:sz="0" w:space="0" w:color="auto"/>
            <w:right w:val="none" w:sz="0" w:space="0" w:color="auto"/>
          </w:divBdr>
        </w:div>
        <w:div w:id="569996946">
          <w:marLeft w:val="0"/>
          <w:marRight w:val="0"/>
          <w:marTop w:val="0"/>
          <w:marBottom w:val="0"/>
          <w:divBdr>
            <w:top w:val="none" w:sz="0" w:space="0" w:color="auto"/>
            <w:left w:val="none" w:sz="0" w:space="0" w:color="auto"/>
            <w:bottom w:val="none" w:sz="0" w:space="0" w:color="auto"/>
            <w:right w:val="none" w:sz="0" w:space="0" w:color="auto"/>
          </w:divBdr>
        </w:div>
        <w:div w:id="2005618474">
          <w:marLeft w:val="0"/>
          <w:marRight w:val="0"/>
          <w:marTop w:val="0"/>
          <w:marBottom w:val="0"/>
          <w:divBdr>
            <w:top w:val="none" w:sz="0" w:space="0" w:color="auto"/>
            <w:left w:val="none" w:sz="0" w:space="0" w:color="auto"/>
            <w:bottom w:val="none" w:sz="0" w:space="0" w:color="auto"/>
            <w:right w:val="none" w:sz="0" w:space="0" w:color="auto"/>
          </w:divBdr>
        </w:div>
        <w:div w:id="318922433">
          <w:marLeft w:val="0"/>
          <w:marRight w:val="0"/>
          <w:marTop w:val="0"/>
          <w:marBottom w:val="0"/>
          <w:divBdr>
            <w:top w:val="none" w:sz="0" w:space="0" w:color="auto"/>
            <w:left w:val="none" w:sz="0" w:space="0" w:color="auto"/>
            <w:bottom w:val="none" w:sz="0" w:space="0" w:color="auto"/>
            <w:right w:val="none" w:sz="0" w:space="0" w:color="auto"/>
          </w:divBdr>
        </w:div>
        <w:div w:id="1030910904">
          <w:marLeft w:val="0"/>
          <w:marRight w:val="0"/>
          <w:marTop w:val="0"/>
          <w:marBottom w:val="0"/>
          <w:divBdr>
            <w:top w:val="none" w:sz="0" w:space="0" w:color="auto"/>
            <w:left w:val="none" w:sz="0" w:space="0" w:color="auto"/>
            <w:bottom w:val="none" w:sz="0" w:space="0" w:color="auto"/>
            <w:right w:val="none" w:sz="0" w:space="0" w:color="auto"/>
          </w:divBdr>
        </w:div>
        <w:div w:id="28547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F1E4F-2B0C-490E-B933-96078DB2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2745</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dc:creator>
  <cp:lastModifiedBy>Rene</cp:lastModifiedBy>
  <cp:revision>2</cp:revision>
  <cp:lastPrinted>2015-01-25T06:40:00Z</cp:lastPrinted>
  <dcterms:created xsi:type="dcterms:W3CDTF">2015-01-25T06:55:00Z</dcterms:created>
  <dcterms:modified xsi:type="dcterms:W3CDTF">2015-01-25T06:55:00Z</dcterms:modified>
</cp:coreProperties>
</file>